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9" w:rsidRPr="00224169" w:rsidRDefault="004329A1" w:rsidP="0022416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DRÖG AÐ </w:t>
      </w:r>
      <w:r w:rsidR="00224169">
        <w:rPr>
          <w:sz w:val="32"/>
          <w:szCs w:val="32"/>
        </w:rPr>
        <w:t>REGLUGERÐ</w:t>
      </w:r>
      <w:r w:rsidR="00224169">
        <w:rPr>
          <w:b/>
          <w:sz w:val="21"/>
          <w:szCs w:val="21"/>
        </w:rPr>
        <w:t xml:space="preserve"> </w:t>
      </w:r>
    </w:p>
    <w:p w:rsidR="004C61B9" w:rsidRDefault="00224169" w:rsidP="00224169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um </w:t>
      </w:r>
      <w:r w:rsidR="004C61B9">
        <w:rPr>
          <w:b/>
          <w:sz w:val="21"/>
          <w:szCs w:val="21"/>
        </w:rPr>
        <w:t xml:space="preserve">að flýta innleiðingu á kröfum um tvöfaldan byrðing </w:t>
      </w:r>
    </w:p>
    <w:p w:rsidR="00224169" w:rsidRDefault="004C61B9" w:rsidP="00224169">
      <w:pPr>
        <w:pStyle w:val="NoSpacing"/>
        <w:jc w:val="center"/>
        <w:rPr>
          <w:sz w:val="21"/>
          <w:szCs w:val="21"/>
        </w:rPr>
      </w:pPr>
      <w:r>
        <w:rPr>
          <w:b/>
          <w:sz w:val="21"/>
          <w:szCs w:val="21"/>
        </w:rPr>
        <w:t>eða sambærilegum hönnunarkröfum fyrir olíuflutningaskip með einföldum byrðingi</w:t>
      </w:r>
      <w:r w:rsidR="00224169">
        <w:rPr>
          <w:b/>
          <w:sz w:val="21"/>
          <w:szCs w:val="21"/>
        </w:rPr>
        <w:t>.</w:t>
      </w:r>
    </w:p>
    <w:p w:rsidR="00224169" w:rsidRDefault="00224169" w:rsidP="00224169">
      <w:pPr>
        <w:pStyle w:val="NoSpacing"/>
        <w:jc w:val="center"/>
        <w:rPr>
          <w:sz w:val="21"/>
          <w:szCs w:val="21"/>
        </w:rPr>
      </w:pPr>
    </w:p>
    <w:p w:rsidR="00224169" w:rsidRDefault="00224169" w:rsidP="00224169">
      <w:pPr>
        <w:pStyle w:val="NoSpacing"/>
        <w:jc w:val="center"/>
        <w:rPr>
          <w:sz w:val="21"/>
          <w:szCs w:val="21"/>
        </w:rPr>
      </w:pPr>
      <w:r w:rsidRPr="00224169">
        <w:rPr>
          <w:sz w:val="21"/>
          <w:szCs w:val="21"/>
        </w:rPr>
        <w:t>1.</w:t>
      </w:r>
      <w:r>
        <w:rPr>
          <w:sz w:val="21"/>
          <w:szCs w:val="21"/>
        </w:rPr>
        <w:t xml:space="preserve"> gr.</w:t>
      </w:r>
    </w:p>
    <w:p w:rsidR="00224169" w:rsidRPr="00224169" w:rsidRDefault="00224169" w:rsidP="00224169">
      <w:pPr>
        <w:pStyle w:val="NoSpacing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Markmið.</w:t>
      </w:r>
    </w:p>
    <w:p w:rsidR="00224169" w:rsidRDefault="004C61B9" w:rsidP="00224169">
      <w:pPr>
        <w:pStyle w:val="NoSpacing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Markmið þessarar reglugerðar er að innleiða áætlun um að flýta beitingu krafna um tvöfaldan byrðing eða samsvarandi hönnunarkrafna fyrir olíuflutningaskip með einföldum byrðingi, sem kveðið er á um í Alþjóðasamningi u</w:t>
      </w:r>
      <w:r w:rsidR="00E30F6A">
        <w:rPr>
          <w:sz w:val="21"/>
          <w:szCs w:val="21"/>
        </w:rPr>
        <w:t>m varnir gegn mengun frá skipum 1973</w:t>
      </w:r>
      <w:r>
        <w:rPr>
          <w:sz w:val="21"/>
          <w:szCs w:val="21"/>
        </w:rPr>
        <w:t xml:space="preserve"> með breytingum samkvæmt bókun frá 1978 (MARPOL 73/78), sem og að banna flutning á þungri olíu í olíuflutnin</w:t>
      </w:r>
      <w:r w:rsidR="00E30F6A">
        <w:rPr>
          <w:sz w:val="21"/>
          <w:szCs w:val="21"/>
        </w:rPr>
        <w:t>gaskipum með einföldum byrðingi</w:t>
      </w:r>
      <w:r>
        <w:rPr>
          <w:sz w:val="21"/>
          <w:szCs w:val="21"/>
        </w:rPr>
        <w:t xml:space="preserve"> til hafna eða frá höfnum aðildarríkja EES.</w:t>
      </w:r>
    </w:p>
    <w:p w:rsidR="004329A1" w:rsidRDefault="004329A1" w:rsidP="004329A1">
      <w:pPr>
        <w:pStyle w:val="NoSpacing"/>
        <w:jc w:val="both"/>
        <w:rPr>
          <w:sz w:val="21"/>
          <w:szCs w:val="21"/>
        </w:rPr>
      </w:pPr>
    </w:p>
    <w:p w:rsidR="004329A1" w:rsidRDefault="004329A1" w:rsidP="004329A1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2. gr.</w:t>
      </w:r>
    </w:p>
    <w:p w:rsidR="004329A1" w:rsidRDefault="004329A1" w:rsidP="004329A1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Innleiðing á EES-gerð.</w:t>
      </w:r>
    </w:p>
    <w:p w:rsidR="004329A1" w:rsidRDefault="004329A1" w:rsidP="004329A1">
      <w:pPr>
        <w:pStyle w:val="NoSpacing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Með reglugerð þessari öðlast gildi hér á landi eftirfarandi EES-gerð:</w:t>
      </w:r>
    </w:p>
    <w:p w:rsidR="004329A1" w:rsidRDefault="004329A1" w:rsidP="004329A1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Reglugerð Evrópuþingsins og ráðsins (ESB) nr. 530/2012 frá 13. júní 2012 um að flýta innleiðingu á kröfum um tvöfaldan byrðing eða sambærilegum hönnunarkröfum fyrir olíuflutningaskip með einföldum byrðingi (endurútgáfa), eins og hún var tekin upp í samninginn um Evrópska efnahagssvæðið með ákvörðun sameiginlegu EES-nefndarinnar nr. 94/2014, frá 16. maí 2014. Ákvörðun sameiginlegu EES-nefndarinnar er óbirt. Reglugerð nr. 530/2012 var birt í EES-viðbæti við Stjórnartíðindi Evrópusambandsins nr. 36, 12. júní 2014, bls. 169.</w:t>
      </w:r>
    </w:p>
    <w:p w:rsidR="004329A1" w:rsidRDefault="004329A1" w:rsidP="004329A1">
      <w:pPr>
        <w:pStyle w:val="NoSpacing"/>
        <w:jc w:val="both"/>
        <w:rPr>
          <w:sz w:val="21"/>
          <w:szCs w:val="21"/>
        </w:rPr>
      </w:pPr>
    </w:p>
    <w:p w:rsidR="004329A1" w:rsidRDefault="004329A1" w:rsidP="004329A1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3. gr.</w:t>
      </w:r>
    </w:p>
    <w:p w:rsidR="004329A1" w:rsidRDefault="004329A1" w:rsidP="004329A1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Lagastoð og gildistaka.</w:t>
      </w:r>
    </w:p>
    <w:p w:rsidR="004329A1" w:rsidRDefault="004329A1" w:rsidP="004329A1">
      <w:pPr>
        <w:pStyle w:val="NoSpacing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Reglugerð þessi er sett með heimild í 6. mgr. 3. gr. laga nr. 47/2003, um eftirlit með skipum, með síðari breytingum, og öðlast þegar gildi.</w:t>
      </w:r>
    </w:p>
    <w:p w:rsidR="004329A1" w:rsidRDefault="004329A1" w:rsidP="004329A1">
      <w:pPr>
        <w:pStyle w:val="NoSpacing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Við gildistöku þessarar reglugerðar fellur brott reglugerð nr. 1110/2008, um hönnun olíuflutningaskipa, með síðari breytingum.</w:t>
      </w:r>
    </w:p>
    <w:p w:rsidR="004329A1" w:rsidRDefault="004329A1" w:rsidP="004329A1">
      <w:pPr>
        <w:pStyle w:val="NoSpacing"/>
        <w:jc w:val="both"/>
        <w:rPr>
          <w:sz w:val="21"/>
          <w:szCs w:val="21"/>
        </w:rPr>
      </w:pPr>
      <w:bookmarkStart w:id="0" w:name="_GoBack"/>
      <w:bookmarkEnd w:id="0"/>
    </w:p>
    <w:p w:rsidR="004329A1" w:rsidRDefault="004329A1" w:rsidP="004329A1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Innanríkisráðuneytinu 2014.</w:t>
      </w:r>
    </w:p>
    <w:p w:rsidR="004329A1" w:rsidRDefault="004329A1" w:rsidP="004329A1">
      <w:pPr>
        <w:pStyle w:val="NoSpacing"/>
        <w:jc w:val="center"/>
        <w:rPr>
          <w:sz w:val="21"/>
          <w:szCs w:val="21"/>
        </w:rPr>
      </w:pPr>
    </w:p>
    <w:p w:rsidR="004329A1" w:rsidRPr="004329A1" w:rsidRDefault="004329A1" w:rsidP="004329A1">
      <w:pPr>
        <w:pStyle w:val="NoSpacing"/>
        <w:jc w:val="center"/>
        <w:rPr>
          <w:sz w:val="21"/>
          <w:szCs w:val="21"/>
        </w:rPr>
      </w:pPr>
    </w:p>
    <w:p w:rsidR="00224169" w:rsidRDefault="00224169" w:rsidP="00224169">
      <w:pPr>
        <w:pStyle w:val="NoSpacing"/>
        <w:ind w:firstLine="426"/>
        <w:jc w:val="both"/>
        <w:rPr>
          <w:sz w:val="21"/>
          <w:szCs w:val="21"/>
        </w:rPr>
      </w:pPr>
    </w:p>
    <w:p w:rsidR="00224169" w:rsidRPr="00224169" w:rsidRDefault="00224169" w:rsidP="00224169">
      <w:pPr>
        <w:pStyle w:val="NoSpacing"/>
        <w:ind w:firstLine="426"/>
        <w:jc w:val="both"/>
        <w:rPr>
          <w:sz w:val="21"/>
          <w:szCs w:val="21"/>
        </w:rPr>
      </w:pPr>
    </w:p>
    <w:sectPr w:rsidR="00224169" w:rsidRPr="0022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E3" w:rsidRDefault="00A429E3" w:rsidP="00A429E3">
      <w:pPr>
        <w:spacing w:after="0" w:line="240" w:lineRule="auto"/>
      </w:pPr>
      <w:r>
        <w:separator/>
      </w:r>
    </w:p>
  </w:endnote>
  <w:endnote w:type="continuationSeparator" w:id="0">
    <w:p w:rsidR="00A429E3" w:rsidRDefault="00A429E3" w:rsidP="00A4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E3" w:rsidRDefault="00A42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E3" w:rsidRDefault="00A42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E3" w:rsidRDefault="00A42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E3" w:rsidRDefault="00A429E3" w:rsidP="00A429E3">
      <w:pPr>
        <w:spacing w:after="0" w:line="240" w:lineRule="auto"/>
      </w:pPr>
      <w:r>
        <w:separator/>
      </w:r>
    </w:p>
  </w:footnote>
  <w:footnote w:type="continuationSeparator" w:id="0">
    <w:p w:rsidR="00A429E3" w:rsidRDefault="00A429E3" w:rsidP="00A4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E3" w:rsidRDefault="00A429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45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E3" w:rsidRDefault="00A429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45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E3" w:rsidRDefault="00A429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45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6AF"/>
    <w:multiLevelType w:val="hybridMultilevel"/>
    <w:tmpl w:val="6D3ACA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7022"/>
    <w:multiLevelType w:val="hybridMultilevel"/>
    <w:tmpl w:val="0AC0B69A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9"/>
    <w:rsid w:val="000253AC"/>
    <w:rsid w:val="00100831"/>
    <w:rsid w:val="001C7B89"/>
    <w:rsid w:val="00213855"/>
    <w:rsid w:val="00224169"/>
    <w:rsid w:val="002721C7"/>
    <w:rsid w:val="00284C53"/>
    <w:rsid w:val="00344E36"/>
    <w:rsid w:val="00366187"/>
    <w:rsid w:val="004329A1"/>
    <w:rsid w:val="004469E1"/>
    <w:rsid w:val="004628F8"/>
    <w:rsid w:val="004B767C"/>
    <w:rsid w:val="004C61B9"/>
    <w:rsid w:val="006872DB"/>
    <w:rsid w:val="00697722"/>
    <w:rsid w:val="00717415"/>
    <w:rsid w:val="007267C0"/>
    <w:rsid w:val="00870F6E"/>
    <w:rsid w:val="00986DA8"/>
    <w:rsid w:val="00A429E3"/>
    <w:rsid w:val="00A9527F"/>
    <w:rsid w:val="00B0402D"/>
    <w:rsid w:val="00C36C10"/>
    <w:rsid w:val="00C74F6B"/>
    <w:rsid w:val="00DA480A"/>
    <w:rsid w:val="00E30F6A"/>
    <w:rsid w:val="00E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1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E3"/>
  </w:style>
  <w:style w:type="paragraph" w:styleId="Footer">
    <w:name w:val="footer"/>
    <w:basedOn w:val="Normal"/>
    <w:link w:val="FooterChar"/>
    <w:uiPriority w:val="99"/>
    <w:unhideWhenUsed/>
    <w:rsid w:val="00A4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1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E3"/>
  </w:style>
  <w:style w:type="paragraph" w:styleId="Footer">
    <w:name w:val="footer"/>
    <w:basedOn w:val="Normal"/>
    <w:link w:val="FooterChar"/>
    <w:uiPriority w:val="99"/>
    <w:unhideWhenUsed/>
    <w:rsid w:val="00A4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Freyr Björnsson</dc:creator>
  <cp:lastModifiedBy>Jóhannes Tómasson</cp:lastModifiedBy>
  <cp:revision>3</cp:revision>
  <dcterms:created xsi:type="dcterms:W3CDTF">2014-09-03T16:24:00Z</dcterms:created>
  <dcterms:modified xsi:type="dcterms:W3CDTF">2014-09-03T16:26:00Z</dcterms:modified>
</cp:coreProperties>
</file>