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37" w:rsidRDefault="00707D37" w:rsidP="00995085"/>
    <w:p w:rsidR="00707D37" w:rsidRDefault="00895423" w:rsidP="00943B67">
      <w:pPr>
        <w:pStyle w:val="Fyrirsgn-skjalategund"/>
      </w:pPr>
      <w:r>
        <w:t>Frumvarp til laga</w:t>
      </w:r>
    </w:p>
    <w:p w:rsidR="00707D37" w:rsidRDefault="00895423" w:rsidP="00943B67">
      <w:pPr>
        <w:pStyle w:val="Fyrirsgn-undirfyrirsgn"/>
      </w:pPr>
      <w:r>
        <w:t xml:space="preserve">um </w:t>
      </w:r>
      <w:r w:rsidR="00750B2A">
        <w:t>breytingu á lögum um fjarskipti, nr. 81/2003,</w:t>
      </w:r>
      <w:r w:rsidR="00750B2A">
        <w:br/>
        <w:t>með síðari breytingum (nethlutleysi)</w:t>
      </w:r>
    </w:p>
    <w:p w:rsidR="00707D37" w:rsidRDefault="00707D37" w:rsidP="00943B67"/>
    <w:p w:rsidR="00707D37" w:rsidRDefault="007176DC" w:rsidP="00943B67">
      <w:pPr>
        <w:pStyle w:val="Normalmija"/>
      </w:pPr>
      <w:r w:rsidRPr="007176DC">
        <w:t>(L</w:t>
      </w:r>
      <w:r w:rsidR="00EB3C39">
        <w:t>agt</w:t>
      </w:r>
      <w:r w:rsidRPr="007176DC">
        <w:t xml:space="preserve"> fyrir Alþingi á 14</w:t>
      </w:r>
      <w:r w:rsidR="0057228A">
        <w:t>6</w:t>
      </w:r>
      <w:r w:rsidRPr="007176DC">
        <w:t>. löggjafarþingi 201</w:t>
      </w:r>
      <w:r w:rsidR="0057228A">
        <w:t>6</w:t>
      </w:r>
      <w:r w:rsidR="00132E7E">
        <w:t>–</w:t>
      </w:r>
      <w:r w:rsidR="00852033">
        <w:t>201</w:t>
      </w:r>
      <w:r w:rsidR="0057228A">
        <w:t>7</w:t>
      </w:r>
      <w:r w:rsidRPr="007176DC">
        <w:t>.)</w:t>
      </w:r>
      <w:r w:rsidR="00A24367">
        <w:t xml:space="preserve"> </w:t>
      </w:r>
    </w:p>
    <w:p w:rsidR="00707D37" w:rsidRDefault="00707D37" w:rsidP="00943B67">
      <w:pPr>
        <w:pStyle w:val="Strik"/>
      </w:pPr>
    </w:p>
    <w:p w:rsidR="00707D37" w:rsidRDefault="00707D37" w:rsidP="00943B67"/>
    <w:p w:rsidR="00707D37" w:rsidRDefault="00707D37" w:rsidP="00943B67"/>
    <w:p w:rsidR="00C35574" w:rsidRDefault="00C35574" w:rsidP="00943B67">
      <w:pPr>
        <w:pStyle w:val="Greinarnmer"/>
      </w:pPr>
      <w:r>
        <w:t>1. gr.</w:t>
      </w:r>
    </w:p>
    <w:p w:rsidR="00AE2225" w:rsidRDefault="00AE2225" w:rsidP="00943B67">
      <w:r>
        <w:t xml:space="preserve">24. gr. laganna breytist þannig: </w:t>
      </w:r>
    </w:p>
    <w:p w:rsidR="00750B2A" w:rsidRDefault="00AE2225" w:rsidP="00AE2225">
      <w:pPr>
        <w:ind w:firstLine="0"/>
      </w:pPr>
      <w:r>
        <w:t xml:space="preserve">a. </w:t>
      </w:r>
      <w:r w:rsidR="00750B2A">
        <w:t>6. mgr. orðast svo:</w:t>
      </w:r>
    </w:p>
    <w:p w:rsidR="00AE2225" w:rsidRDefault="00750B2A" w:rsidP="00AE2225">
      <w:pPr>
        <w:ind w:left="284"/>
      </w:pPr>
      <w:r w:rsidRPr="00750B2A">
        <w:t>Í samtengisamningi og samningi um aðgang að netum skal geta um þær lögmætu stýringar fjarskiptaumferðar sem aðilar áskilja sér til að viðhafa í almennum fjarskiptanetum og skulu þær uppfylla skilyrði um nauðsyn og meðalhóf. Slíka samninga um samtengingu og aðgang skal senda Póst- og fjarskiptastofnun þegar í stað en eigi síðar en viku eftir undirritun þeirra.</w:t>
      </w:r>
    </w:p>
    <w:p w:rsidR="00750B2A" w:rsidRDefault="00AE2225" w:rsidP="00AE2225">
      <w:pPr>
        <w:ind w:firstLine="0"/>
      </w:pPr>
      <w:r>
        <w:t xml:space="preserve">b. </w:t>
      </w:r>
      <w:r w:rsidR="00750B2A">
        <w:t xml:space="preserve">Fyrirsögn </w:t>
      </w:r>
      <w:r>
        <w:t>greinarinnar</w:t>
      </w:r>
      <w:r w:rsidR="00750B2A">
        <w:t xml:space="preserve"> orð</w:t>
      </w:r>
      <w:r>
        <w:t>a</w:t>
      </w:r>
      <w:r w:rsidR="00750B2A">
        <w:t>st svo</w:t>
      </w:r>
      <w:r>
        <w:t>:</w:t>
      </w:r>
      <w:r w:rsidR="00750B2A">
        <w:t xml:space="preserve"> </w:t>
      </w:r>
      <w:r w:rsidR="00750B2A" w:rsidRPr="00750B2A">
        <w:rPr>
          <w:i/>
        </w:rPr>
        <w:t>Samtenging neta og stýring fjarskiptaumferðar</w:t>
      </w:r>
      <w:r w:rsidR="00750B2A">
        <w:t xml:space="preserve">. </w:t>
      </w:r>
    </w:p>
    <w:p w:rsidR="00750B2A" w:rsidRDefault="00750B2A" w:rsidP="00943B67"/>
    <w:p w:rsidR="00750B2A" w:rsidRDefault="00750B2A" w:rsidP="00750B2A">
      <w:pPr>
        <w:pStyle w:val="Greinarnmer"/>
      </w:pPr>
      <w:r>
        <w:t>2. gr.</w:t>
      </w:r>
    </w:p>
    <w:p w:rsidR="00AE2225" w:rsidRDefault="00AE2225" w:rsidP="00AE2225">
      <w:r>
        <w:t xml:space="preserve">41. gr. laganna breytist þannig: </w:t>
      </w:r>
    </w:p>
    <w:p w:rsidR="00AE2225" w:rsidRDefault="00AE2225" w:rsidP="00AE2225">
      <w:pPr>
        <w:ind w:left="284" w:hanging="284"/>
      </w:pPr>
      <w:r>
        <w:t xml:space="preserve">a. Við 2. mgr. bætast tveir stafliðir, sem verða b. og c. og aðrir stafliðir málsgreinarinnar breytast til samræmis við það: </w:t>
      </w:r>
    </w:p>
    <w:p w:rsidR="00AE2225" w:rsidRPr="00AE2225" w:rsidRDefault="00AE2225" w:rsidP="00AE2225">
      <w:pPr>
        <w:ind w:left="426"/>
      </w:pPr>
      <w:r w:rsidRPr="00AE2225">
        <w:t>b. tæknileg skilyrði þjónustunnar og lágmarksgæði hennar,</w:t>
      </w:r>
    </w:p>
    <w:p w:rsidR="00AE2225" w:rsidRPr="00AE2225" w:rsidRDefault="00AE2225" w:rsidP="00AE2225">
      <w:pPr>
        <w:ind w:left="993" w:hanging="283"/>
      </w:pPr>
      <w:r w:rsidRPr="00AE2225">
        <w:t>c. kröfur um upplýsingagjöf fjarskiptafyrirtækja, mæliaðferðir og prófanir á gæðum þjónustu,</w:t>
      </w:r>
    </w:p>
    <w:p w:rsidR="00AE2225" w:rsidRPr="00AE2225" w:rsidRDefault="00AE2225" w:rsidP="00AE2225">
      <w:pPr>
        <w:ind w:firstLine="0"/>
      </w:pPr>
      <w:r>
        <w:t>b. Fjórar</w:t>
      </w:r>
      <w:r w:rsidRPr="00AE2225">
        <w:t xml:space="preserve"> nýjar málsgreinar bætast við ákvæðið</w:t>
      </w:r>
      <w:r>
        <w:t>,</w:t>
      </w:r>
      <w:r w:rsidRPr="00AE2225">
        <w:t xml:space="preserve"> </w:t>
      </w:r>
      <w:r>
        <w:t>er orðast svo</w:t>
      </w:r>
      <w:r w:rsidRPr="00AE2225">
        <w:t>:</w:t>
      </w:r>
    </w:p>
    <w:p w:rsidR="00AE2225" w:rsidRPr="00AE2225" w:rsidRDefault="00AE2225" w:rsidP="00AE2225">
      <w:pPr>
        <w:ind w:left="284"/>
      </w:pPr>
      <w:r w:rsidRPr="00AE2225">
        <w:t>Notendur skulu eiga rétt á því að fá aðgang að upplýsingum og efni, miðla því, nota og bjóða fram þjónustu, með því að nota búnað að eigin vali, óháð staðsetningu sinni eða fjarskiptafyrirtæ</w:t>
      </w:r>
      <w:r w:rsidR="004F70B4">
        <w:t>kis eða uppruna eða áfangastað</w:t>
      </w:r>
      <w:r w:rsidRPr="00AE2225">
        <w:t xml:space="preserve"> upplýsinganna, efnisins og þjónustunnar sem fer um netaðganginn.</w:t>
      </w:r>
    </w:p>
    <w:p w:rsidR="00AE2225" w:rsidRPr="00AE2225" w:rsidRDefault="004F70B4" w:rsidP="00AE2225">
      <w:pPr>
        <w:ind w:left="284"/>
      </w:pPr>
      <w:r>
        <w:t>Fjarskiptafyrirtæki sem veita</w:t>
      </w:r>
      <w:r w:rsidR="00AE2225" w:rsidRPr="00AE2225">
        <w:t xml:space="preserve"> aðgang að </w:t>
      </w:r>
      <w:r w:rsidR="009F44A8">
        <w:t>i</w:t>
      </w:r>
      <w:r w:rsidR="00AE2225" w:rsidRPr="00AE2225">
        <w:t>nternetþjónustu skulu meðhöndla alla fjarskiptaumferð með jöfnum hætti, án mismun</w:t>
      </w:r>
      <w:r w:rsidR="00DF500B">
        <w:t>un</w:t>
      </w:r>
      <w:r w:rsidR="00AE2225" w:rsidRPr="00AE2225">
        <w:t xml:space="preserve">ar, takmörkunar eða truflunar og óháð sendanda eða móttakanda, þess efnis sem sótt er eða miðlað, þeirrar þjónustu sem notuð er eða boðin fram og þess búnaðar sem notaður er. </w:t>
      </w:r>
    </w:p>
    <w:p w:rsidR="00AE2225" w:rsidRPr="00AE2225" w:rsidRDefault="00AE2225" w:rsidP="00AE2225">
      <w:pPr>
        <w:ind w:left="284"/>
      </w:pPr>
      <w:r w:rsidRPr="00AE2225">
        <w:t xml:space="preserve">Þrátt fyrir 4. mgr. er fjarskiptafyrirtækjum heimilt að beita umferðarstýringum á netumferð séu þær nauðsynlegar, gagnsæjar, hóflegar og án mismununar.  </w:t>
      </w:r>
    </w:p>
    <w:p w:rsidR="00AE2225" w:rsidRPr="00AE2225" w:rsidRDefault="00AE2225" w:rsidP="00AE2225">
      <w:pPr>
        <w:ind w:left="284"/>
      </w:pPr>
      <w:r w:rsidRPr="00AE2225">
        <w:t>Ráðherra setur reglugerð um framkvæmd nethlutleysis, m.a. um eftirfarandi:</w:t>
      </w:r>
    </w:p>
    <w:p w:rsidR="00AE2225" w:rsidRPr="00AE2225" w:rsidRDefault="00AE2225" w:rsidP="00AE2225">
      <w:pPr>
        <w:ind w:left="284"/>
      </w:pPr>
      <w:r w:rsidRPr="00AE2225">
        <w:t>a. leyfilegan tilgang umferða</w:t>
      </w:r>
      <w:r w:rsidR="00DF500B">
        <w:t>r</w:t>
      </w:r>
      <w:r w:rsidRPr="00AE2225">
        <w:t>stýringa,</w:t>
      </w:r>
    </w:p>
    <w:p w:rsidR="00AE2225" w:rsidRPr="00AE2225" w:rsidRDefault="00AE2225" w:rsidP="00AE2225">
      <w:pPr>
        <w:ind w:left="284"/>
      </w:pPr>
      <w:r w:rsidRPr="00AE2225">
        <w:t>b. skilyrði fyrir beitingu umferða</w:t>
      </w:r>
      <w:r w:rsidR="00DF500B">
        <w:t>r</w:t>
      </w:r>
      <w:r w:rsidRPr="00AE2225">
        <w:t>stýringa,</w:t>
      </w:r>
    </w:p>
    <w:p w:rsidR="00AE2225" w:rsidRPr="00AE2225" w:rsidRDefault="00AE2225" w:rsidP="00AE2225">
      <w:pPr>
        <w:ind w:left="284"/>
      </w:pPr>
      <w:r w:rsidRPr="00AE2225">
        <w:lastRenderedPageBreak/>
        <w:t>c. skilyrði fyrir framboði á sérþjónustum sem styðjast við ákveðna nethögun,</w:t>
      </w:r>
    </w:p>
    <w:p w:rsidR="00AE2225" w:rsidRPr="00AE2225" w:rsidRDefault="00AE2225" w:rsidP="00AE2225">
      <w:pPr>
        <w:ind w:left="284"/>
      </w:pPr>
      <w:r w:rsidRPr="00AE2225">
        <w:t>d. vernd persónuupplýsinga við beitingu umferðarstýringa</w:t>
      </w:r>
      <w:r w:rsidR="004F70B4">
        <w:t xml:space="preserve">, </w:t>
      </w:r>
      <w:r w:rsidRPr="00AE2225">
        <w:t xml:space="preserve"> </w:t>
      </w:r>
    </w:p>
    <w:p w:rsidR="00AE2225" w:rsidRPr="00AE2225" w:rsidRDefault="00AE2225" w:rsidP="00AE2225">
      <w:pPr>
        <w:ind w:left="284"/>
      </w:pPr>
      <w:r w:rsidRPr="00AE2225">
        <w:t>e. upplýsingagjöf fjarskiptafyrirtækja til áskrifenda í viðskiptaskilmálum,</w:t>
      </w:r>
    </w:p>
    <w:p w:rsidR="00AE2225" w:rsidRDefault="00AE2225" w:rsidP="00AE2225">
      <w:pPr>
        <w:ind w:left="851" w:hanging="283"/>
      </w:pPr>
      <w:r w:rsidRPr="00AE2225">
        <w:t>f. upplýsingagjöf fjarskiptafyrirtækja til Póst- og fjarskiptastofnunar og eftirlitsúrræði hennar, m.a. um úttektir á framkvæmd nethlutleysis.</w:t>
      </w:r>
    </w:p>
    <w:p w:rsidR="00AE2225" w:rsidRDefault="00AE2225" w:rsidP="00AE2225">
      <w:pPr>
        <w:ind w:firstLine="0"/>
      </w:pPr>
      <w:r>
        <w:t xml:space="preserve">c. Fyrirsögn greinarinnar orðast svo: </w:t>
      </w:r>
      <w:r>
        <w:rPr>
          <w:i/>
        </w:rPr>
        <w:t>Gæði þjónustu og nethlutleysi</w:t>
      </w:r>
      <w:r>
        <w:t xml:space="preserve">. </w:t>
      </w:r>
    </w:p>
    <w:p w:rsidR="00C35574" w:rsidRDefault="00C35574" w:rsidP="00943B67"/>
    <w:p w:rsidR="00AE2225" w:rsidRDefault="00AE2225" w:rsidP="00AE2225">
      <w:pPr>
        <w:pStyle w:val="Greinarnmer"/>
      </w:pPr>
      <w:r>
        <w:t>3. gr.</w:t>
      </w:r>
    </w:p>
    <w:p w:rsidR="00750B2A" w:rsidRDefault="00AE2225" w:rsidP="007D7168">
      <w:r>
        <w:t xml:space="preserve">Við 74. gr. bætist ný málsgrein sem orðast svo: </w:t>
      </w:r>
    </w:p>
    <w:p w:rsidR="007D7168" w:rsidRPr="007D7168" w:rsidRDefault="007D7168" w:rsidP="007D7168">
      <w:pPr>
        <w:ind w:left="284"/>
      </w:pPr>
      <w:r w:rsidRPr="007D7168">
        <w:t xml:space="preserve">Póst- og fjarskiptastofnun </w:t>
      </w:r>
      <w:r w:rsidR="004C6850">
        <w:t>er heimilt að leggja</w:t>
      </w:r>
      <w:r w:rsidR="004C6850" w:rsidRPr="007D7168">
        <w:t xml:space="preserve"> </w:t>
      </w:r>
      <w:r w:rsidRPr="007D7168">
        <w:t xml:space="preserve">stjórnvaldssekt allt að 10.000.000 kr. á fjarskiptafyrirtæki sem beitir ólögmætri stýringu fjarskiptaumferðar eða takmarkar með ólögmætum hætti aðgang notanda til þess að sækja sér, nota og miðla efni eða þjónustu á </w:t>
      </w:r>
      <w:r w:rsidR="00DF500B">
        <w:t>I</w:t>
      </w:r>
      <w:r w:rsidRPr="007D7168">
        <w:t>nternetinu óháð staðsetningu sinni eða fjarskiptafyrirtæk</w:t>
      </w:r>
      <w:r w:rsidR="004F70B4">
        <w:t>isins og uppruna eða áfang</w:t>
      </w:r>
      <w:r w:rsidR="00671549">
        <w:t>a</w:t>
      </w:r>
      <w:r w:rsidR="004F70B4">
        <w:t>stað</w:t>
      </w:r>
      <w:r w:rsidRPr="007D7168">
        <w:t xml:space="preserve"> efnis eða þjónustu, sbr. 3. – 5. mgr. 41. gr. laganna. Við ákvörðun sektar skal m.a. tekið tillit til alvarleika brots og tekna fjarskiptafyrirtækis af broti þegar það á við. Ákvarðaðar stjórnvaldssektir eru aðfararhæfar og renna þær til ríkissjóðs að frádregnum kostnaði við innheimtuna.</w:t>
      </w:r>
      <w:r>
        <w:t xml:space="preserve"> </w:t>
      </w:r>
    </w:p>
    <w:p w:rsidR="007D7168" w:rsidRDefault="007D7168" w:rsidP="00AE2225"/>
    <w:p w:rsidR="007D7168" w:rsidRDefault="007D7168" w:rsidP="007D7168">
      <w:pPr>
        <w:pStyle w:val="Greinarnmer"/>
      </w:pPr>
      <w:r>
        <w:t>4. gr.</w:t>
      </w:r>
    </w:p>
    <w:p w:rsidR="00750B2A" w:rsidRDefault="007D7168" w:rsidP="007D7168">
      <w:r>
        <w:t>Lög þessi öðlas</w:t>
      </w:r>
      <w:r w:rsidR="00601783">
        <w:t xml:space="preserve">t þegar gildi. </w:t>
      </w:r>
    </w:p>
    <w:p w:rsidR="007D7168" w:rsidRDefault="007D7168" w:rsidP="00943B67"/>
    <w:p w:rsidR="00750B2A" w:rsidRDefault="00750B2A" w:rsidP="00750B2A"/>
    <w:p w:rsidR="00750B2A" w:rsidRDefault="00750B2A" w:rsidP="00943B67"/>
    <w:p w:rsidR="00750B2A" w:rsidRDefault="00750B2A" w:rsidP="00943B67"/>
    <w:p w:rsidR="00C35574" w:rsidRDefault="00C35574" w:rsidP="00943B67"/>
    <w:p w:rsidR="00C35574" w:rsidRDefault="00C35574" w:rsidP="00943B67">
      <w:pPr>
        <w:pStyle w:val="Fyrirsgn-athugasemdir"/>
      </w:pPr>
      <w:r>
        <w:t>Athugasemdir við lagafrumvarp þetta.</w:t>
      </w:r>
    </w:p>
    <w:p w:rsidR="00C35574" w:rsidRDefault="00C35574" w:rsidP="00943B67"/>
    <w:p w:rsidR="00D0740D" w:rsidRDefault="00D0740D" w:rsidP="00D0740D">
      <w:pPr>
        <w:pStyle w:val="Millifyrirsgn1"/>
      </w:pPr>
      <w:r>
        <w:t xml:space="preserve">I. Inngangur. </w:t>
      </w:r>
    </w:p>
    <w:p w:rsidR="00601783" w:rsidRPr="005F4087" w:rsidRDefault="00601783" w:rsidP="00601783">
      <w:pPr>
        <w:autoSpaceDE w:val="0"/>
        <w:autoSpaceDN w:val="0"/>
        <w:adjustRightInd w:val="0"/>
      </w:pPr>
      <w:r w:rsidRPr="005F4087">
        <w:t xml:space="preserve">Frumvarp þetta fjallar um nethlutleysi, en með því er ætlunin að innleiða reglugerð Evrópuþingsins og </w:t>
      </w:r>
      <w:r w:rsidR="00DF500B">
        <w:t>r</w:t>
      </w:r>
      <w:r w:rsidRPr="005F4087">
        <w:t>áðsins 2015/2120/EB frá 25. nóvember 2015</w:t>
      </w:r>
      <w:r w:rsidR="004F70B4">
        <w:t xml:space="preserve"> um ráðstafanir varðandi opinn n</w:t>
      </w:r>
      <w:r w:rsidRPr="005F4087">
        <w:t xml:space="preserve">etaðgang og um breytingu á tilskipun 2002/22/EB um alþjónustu og réttindi notenda að því er varðar rafræn fjarskiptanet og þjónustu og reglugerð (ESB) nr. 531/2012 um reiki á almennum farsímanetum innan </w:t>
      </w:r>
      <w:r w:rsidR="00DF500B">
        <w:t>ESB</w:t>
      </w:r>
      <w:r w:rsidRPr="005F4087">
        <w:t xml:space="preserve">. Oftast er vísað til reglugerðarinnar undir heitinu TSM reglugerðin (e. Telecoms Single Market) og verður það sömuleiðis gert í skýringum við frumvarp þetta. </w:t>
      </w:r>
    </w:p>
    <w:p w:rsidR="00D0740D" w:rsidRDefault="00D0740D" w:rsidP="00D0740D"/>
    <w:p w:rsidR="00D0740D" w:rsidRDefault="00D0740D" w:rsidP="00D0740D">
      <w:pPr>
        <w:pStyle w:val="Millifyrirsgn1"/>
      </w:pPr>
      <w:r>
        <w:t xml:space="preserve">II. Tilefni og nauðsyn lagasetningar. </w:t>
      </w:r>
    </w:p>
    <w:p w:rsidR="00601783" w:rsidRDefault="00601783" w:rsidP="00601783">
      <w:pPr>
        <w:autoSpaceDE w:val="0"/>
        <w:autoSpaceDN w:val="0"/>
        <w:adjustRightInd w:val="0"/>
      </w:pPr>
      <w:r w:rsidRPr="005F4087">
        <w:t xml:space="preserve">Efni TSM reglugerðarinnar er tvíþætt. Annars vegar fjallar hún um nethlutleysi, en það eru reglur sem eiga að stuðla að vernd hins opna </w:t>
      </w:r>
      <w:r w:rsidR="009F44A8">
        <w:t>i</w:t>
      </w:r>
      <w:r w:rsidRPr="005F4087">
        <w:t>nternets, og hins vegar alþjóðlegt reiki innan EES. Síðari hluti reglugerðarinnar er varðar reiki á fjarskiptanetum hefur þegar verið innleiddur í íslenskan rétt með reglugerð ráðherra nr. 558/2016 en þar er um að ræða áframhaldandi reglugerðarsetningu í þeim málaflokki sem þegar á sér lagastoð í fjarskiptalögum, sbr. 35. gr. laganna. Fyrri hluti TSM reglugerðarinnar felur á hin</w:t>
      </w:r>
      <w:r w:rsidR="004F70B4">
        <w:t>n bóginn í sér nýmæli sem kalla</w:t>
      </w:r>
      <w:r w:rsidRPr="005F4087">
        <w:t xml:space="preserve"> á lagasetningu, enda hefur hvergi í íslenskri löggjöf verið fjallað um nethlutleysi.</w:t>
      </w:r>
    </w:p>
    <w:p w:rsidR="005F4087" w:rsidRPr="005F4087" w:rsidRDefault="005F4087" w:rsidP="005F4087">
      <w:pPr>
        <w:autoSpaceDE w:val="0"/>
        <w:autoSpaceDN w:val="0"/>
        <w:adjustRightInd w:val="0"/>
      </w:pPr>
      <w:r w:rsidRPr="005F4087">
        <w:t xml:space="preserve">TSM reglugerðin er óvenjuleg fyrir þær sakir að hún hefur að geyma ákvæði um tvö ólík efnisatriði, annars vegar nýjar heildstæðar reglur um nethlutleysi og hins vegar breytingar á </w:t>
      </w:r>
      <w:r w:rsidRPr="005F4087">
        <w:lastRenderedPageBreak/>
        <w:t xml:space="preserve">einstökum ákvæðum í reglum um reiki. Ákvæðin um nethlutleysi eru orðuð með heildstæðum hætti, en ákvæðin sem varða reiki eru orðuð sem breytingarákvæði. Þetta gerir það að verkum að ekki er fýsilegt að innleiða TSM reglugerðina með heildstæðum hætti, þó svo að efnisákvæði beggja atriða séu innleidd orðrétt í íslenskan rétt. Sú innleiðing sem lögð er til í frumvarpinu tekur mið af þessu. Ekki þykir rétt að setja sérstök lög um nethlutleysi. </w:t>
      </w:r>
      <w:r w:rsidR="004C6850">
        <w:t xml:space="preserve">Til að tryggja samhengi og skýrleiga er talið best </w:t>
      </w:r>
      <w:r w:rsidRPr="005F4087">
        <w:t>að innleiða ákvæði nethlutleysis í tengslum við skyld ákvæði í fjarskiptalögum. Til að þetta falli að regluverki er talið fara best á því að innleiða meginákvæði TSM reglugerðarinnar um nethlutleysi í fjarskiptalög en setja lagastoð fyrir önnur ákvæði TSM reglugerðarinnar sem hægt verður að innleiða með reglugerð ráðherra.</w:t>
      </w:r>
    </w:p>
    <w:p w:rsidR="005F4087" w:rsidRDefault="005F4087" w:rsidP="005F4087">
      <w:pPr>
        <w:ind w:firstLine="0"/>
      </w:pPr>
    </w:p>
    <w:p w:rsidR="00601783" w:rsidRPr="005F4087" w:rsidRDefault="00D0740D" w:rsidP="005F4087">
      <w:pPr>
        <w:pStyle w:val="Millifyrirsgn1"/>
      </w:pPr>
      <w:r>
        <w:t xml:space="preserve">III. Meginefni frumvarpsins. </w:t>
      </w:r>
    </w:p>
    <w:p w:rsidR="00601783" w:rsidRPr="005F4087" w:rsidRDefault="00601783" w:rsidP="005F4087">
      <w:pPr>
        <w:autoSpaceDE w:val="0"/>
        <w:autoSpaceDN w:val="0"/>
        <w:adjustRightInd w:val="0"/>
      </w:pPr>
      <w:r w:rsidRPr="005F4087">
        <w:t xml:space="preserve">Tiltölulega lítið hefur verið fjallað um nethlutleysi hér á landi. Þó er rétt að geta þess að Póst- og fjarskiptastofnun gerði árið 2016 úttekt á stöðu nethlutleysis með könnun á framkvæmd íslenskra fjarskiptafyrirtækja þar að lútandi. Skýrsla um niðurstöðu úttektarinnar var birt í apríl 2016, en þar er m.a. fjallað um inntak nethlutleysis. Þar sem um er að ræða nýmæli á sviði fjarskiptaréttar þykir vera tilefni til að kynna helstu efnisatriði nethlutleysis og hvaða sjónarmið þeim búa að baki. Sú umfjöllun byggist að mestu leyti á fyrrnefndri skýrslu Póst- og fjarskiptastofnunar.      </w:t>
      </w:r>
    </w:p>
    <w:p w:rsidR="00601783" w:rsidRDefault="00601783" w:rsidP="005F4087">
      <w:pPr>
        <w:autoSpaceDE w:val="0"/>
        <w:autoSpaceDN w:val="0"/>
        <w:adjustRightInd w:val="0"/>
      </w:pPr>
    </w:p>
    <w:p w:rsidR="005F4087" w:rsidRPr="005F4087" w:rsidRDefault="005F4087" w:rsidP="005F4087">
      <w:pPr>
        <w:pStyle w:val="Millifyrirsgn1"/>
      </w:pPr>
      <w:r w:rsidRPr="005F4087">
        <w:t>Um nethlutleysi</w:t>
      </w:r>
    </w:p>
    <w:p w:rsidR="005F4087" w:rsidRPr="005F4087" w:rsidRDefault="005F4087" w:rsidP="00524F35">
      <w:pPr>
        <w:autoSpaceDE w:val="0"/>
        <w:autoSpaceDN w:val="0"/>
        <w:adjustRightInd w:val="0"/>
      </w:pPr>
      <w:r w:rsidRPr="005F4087">
        <w:t xml:space="preserve">Til eru allnokkrar skilgreiningar á hugtakinu nethlutleysi. Meginstef hugtaksins er þó fólgið í því að öll umferð um </w:t>
      </w:r>
      <w:r w:rsidR="009F44A8">
        <w:t>i</w:t>
      </w:r>
      <w:r w:rsidRPr="005F4087">
        <w:t xml:space="preserve">nternetið skuli meðhöndluð á jafnræðisgrundvelli. Nethlutleysi á að stuðla að því að </w:t>
      </w:r>
      <w:r w:rsidR="009F44A8">
        <w:t>i</w:t>
      </w:r>
      <w:r w:rsidRPr="005F4087">
        <w:t xml:space="preserve">nternetið </w:t>
      </w:r>
      <w:r w:rsidR="00DF500B">
        <w:t>verði</w:t>
      </w:r>
      <w:r w:rsidR="00DF500B" w:rsidRPr="005F4087">
        <w:t xml:space="preserve"> </w:t>
      </w:r>
      <w:r w:rsidRPr="005F4087">
        <w:t xml:space="preserve">áfram vettvangur óheftra boðskipta, nýsköpunar og viðskipta eftir bestu getu (e. best effort). Leiðir þetta af sér ráðstafanir sem grípa þarf til svo tryggt verði sem best að fjarskiptanetið geti annað öllum gagnaflutningi. Meginmarkmið nethlutleysisreglna er að flytja skuli öll rafræn samskipti óháð efnisinnihaldi, hugbúnaði, notkunareiginleikum, þjónustu, búnaði, upprunavistfangi eða móttökuvistfangi. Mikilvægt er að hafa í huga að hugmyndafræðin </w:t>
      </w:r>
      <w:r w:rsidR="00DF500B">
        <w:t>um</w:t>
      </w:r>
      <w:r w:rsidRPr="005F4087">
        <w:t xml:space="preserve"> nethlutleysi snýst eingöngu um að ekki skuli mismuna netumferð, þ.e þegar notandi er kominn í netsamband. Reglan fjallar því ekki um að útvega skuli einstaklingum fullnægjandi netsamband ef það er ekki þegar fyrir hendi.</w:t>
      </w:r>
    </w:p>
    <w:p w:rsidR="005F4087" w:rsidRPr="005F4087" w:rsidRDefault="005F4087" w:rsidP="00524F35">
      <w:pPr>
        <w:autoSpaceDE w:val="0"/>
        <w:autoSpaceDN w:val="0"/>
        <w:adjustRightInd w:val="0"/>
      </w:pPr>
      <w:r w:rsidRPr="005F4087">
        <w:t>Reglur um nethlutleysi fela þó ekki í sér að net- og umferðarstýringar séu með öllu óheimilar, en slíkar stýringar eru stundum nefndar netmismunun. Þannig er oft uppi sú staða að nauðsynlegt er að framkvæma net- og umferðarstýringar til þess að mögulegt sé að tryggja ákveðin gæði. Þessi skil geta þó oft verið óljós og því er nauðsynlegt að tryggja að umferðarstýringar í fjarskiptanetum séu ekki skaðlegar og/eða komi í veg fyrir eðlilega nýsköpun og samkeppni. Með það að leiðarljósi er mikilvægt að meta allar aðgerðir sem fela í sér net- og umferðarstýringar í gagnaflutningsnetum. Þess skal geta að reglan á eingöngu við um gagnaflutning, en ekki símtöl eða önnur boðskipti á netum sem ekki fela í sér rafrænar pakkasendingar.</w:t>
      </w:r>
    </w:p>
    <w:p w:rsidR="005F4087" w:rsidRPr="005F4087" w:rsidRDefault="005F4087" w:rsidP="005F4087">
      <w:pPr>
        <w:autoSpaceDE w:val="0"/>
        <w:autoSpaceDN w:val="0"/>
        <w:adjustRightInd w:val="0"/>
      </w:pPr>
      <w:r w:rsidRPr="005F4087">
        <w:t xml:space="preserve">Kjarni nethlutleysis er í raun neytendavernd sem tekur til samskipta fjarskiptafyrirtækja við viðskiptavini sína, t.d. varðandi upplýsingagjöf í viðskiptasamningum, en einnig til aðgerða fjarskiptafyrirtækja </w:t>
      </w:r>
      <w:r w:rsidR="00DF500B">
        <w:t>þeirra</w:t>
      </w:r>
      <w:r w:rsidR="00DF500B" w:rsidRPr="005F4087">
        <w:t xml:space="preserve"> </w:t>
      </w:r>
      <w:r w:rsidRPr="005F4087">
        <w:t>á milli varðandi tækni- og kerfislega þætti sem hafa áhrif á stýringu fjarskiptaumferðar. Í stórum dráttum skiptist efnislegt inntak nethlutleysis í fimm þætti sem stuttlega verður vikið að í eftirfarandi umfjöllun.</w:t>
      </w:r>
    </w:p>
    <w:p w:rsidR="005F4087" w:rsidRPr="005F4087" w:rsidRDefault="005F4087" w:rsidP="005F4087">
      <w:pPr>
        <w:autoSpaceDE w:val="0"/>
        <w:autoSpaceDN w:val="0"/>
        <w:adjustRightInd w:val="0"/>
      </w:pPr>
    </w:p>
    <w:p w:rsidR="005F4087" w:rsidRPr="005F4087" w:rsidRDefault="004F70B4" w:rsidP="005F4087">
      <w:pPr>
        <w:pStyle w:val="Millifyrirsgn2"/>
      </w:pPr>
      <w:r>
        <w:t xml:space="preserve">Opið </w:t>
      </w:r>
      <w:r w:rsidR="009F44A8">
        <w:t>i</w:t>
      </w:r>
      <w:r w:rsidR="005F4087" w:rsidRPr="005F4087">
        <w:t>nternet</w:t>
      </w:r>
    </w:p>
    <w:p w:rsidR="005F4087" w:rsidRPr="005F4087" w:rsidRDefault="005F4087" w:rsidP="005F4087">
      <w:pPr>
        <w:autoSpaceDE w:val="0"/>
        <w:autoSpaceDN w:val="0"/>
        <w:adjustRightInd w:val="0"/>
      </w:pPr>
      <w:r w:rsidRPr="005F4087">
        <w:lastRenderedPageBreak/>
        <w:t xml:space="preserve">Nethlutleysi felst í því að notendur </w:t>
      </w:r>
      <w:r w:rsidR="009F44A8">
        <w:t>i</w:t>
      </w:r>
      <w:r w:rsidRPr="005F4087">
        <w:t xml:space="preserve">nternetsins skuli geta nálgast og miðlað efni eða þjónustu á </w:t>
      </w:r>
      <w:r w:rsidR="009F44A8">
        <w:t>i</w:t>
      </w:r>
      <w:r w:rsidRPr="005F4087">
        <w:t xml:space="preserve">nternetinu, óháð hug- og tæknibúnaði, notkunareiginleikum, upprunavistfangi eða móttökuvistfangi. Í reglunni felst viðurkenning á því hversu mikilvægur netaðgangur er fyrir hinn almenna borgara í frjálsu og tæknivæddu samfélagi. Samhliða þessu hefur því verið slegið föstu að aðgangur að </w:t>
      </w:r>
      <w:r w:rsidR="009F44A8">
        <w:t>i</w:t>
      </w:r>
      <w:r w:rsidRPr="005F4087">
        <w:t>nterneti sé meðal grundvallarréttinda þegna EES-</w:t>
      </w:r>
      <w:r w:rsidR="00DF500B">
        <w:t>ríkja</w:t>
      </w:r>
      <w:r w:rsidR="00DF500B" w:rsidRPr="005F4087">
        <w:t xml:space="preserve"> </w:t>
      </w:r>
      <w:r w:rsidRPr="005F4087">
        <w:t xml:space="preserve">sem ekki verða skert, nema að uppfylltum skilyrðum Mannréttindasáttmála Evrópu. Nethlutleysisreglur eru viðleitni til þess að tryggja þessi réttindi í framkvæmd, eftir því sem kostur er. Þó skal tekið fram að þessi réttindi til aðgangs að efni og þjónustu á </w:t>
      </w:r>
      <w:r w:rsidR="009F44A8">
        <w:t>i</w:t>
      </w:r>
      <w:r w:rsidRPr="005F4087">
        <w:t xml:space="preserve">nternetinu er ekki án undantekninga, en reglunni er t.d. ekki ætlað að heimila aðgang að efni sem er bannað samkvæmt öðrum lögum.    </w:t>
      </w:r>
    </w:p>
    <w:p w:rsidR="005F4087" w:rsidRPr="005F4087" w:rsidRDefault="005F4087" w:rsidP="005F4087">
      <w:pPr>
        <w:autoSpaceDE w:val="0"/>
        <w:autoSpaceDN w:val="0"/>
        <w:adjustRightInd w:val="0"/>
      </w:pPr>
    </w:p>
    <w:p w:rsidR="005F4087" w:rsidRPr="005F4087" w:rsidRDefault="005F4087" w:rsidP="005F4087">
      <w:pPr>
        <w:pStyle w:val="Millifyrirsgn2"/>
      </w:pPr>
      <w:r w:rsidRPr="005F4087">
        <w:t>Jafnræði fjarskiptaumferðar og bann við ómálefnalegum stýringum</w:t>
      </w:r>
    </w:p>
    <w:p w:rsidR="005F4087" w:rsidRPr="005F4087" w:rsidRDefault="005F4087" w:rsidP="005F4087">
      <w:pPr>
        <w:autoSpaceDE w:val="0"/>
        <w:autoSpaceDN w:val="0"/>
        <w:adjustRightInd w:val="0"/>
      </w:pPr>
      <w:r w:rsidRPr="005F4087">
        <w:t xml:space="preserve">Hvað varðar </w:t>
      </w:r>
      <w:r w:rsidR="004C6850">
        <w:t>útfærslu á reglunni í framkvæmd</w:t>
      </w:r>
      <w:r w:rsidRPr="005F4087">
        <w:t>, þá felur hún í sér að fjarskiptafyrirtæki megi ekki beita umferðarstýringum í ómálefnalegum tilgangi, t.d. með því að draga úr gæðum tiltekinnar þjónustu á netinu í viðskiptalegum eða samkeppnislegum tilgangi. Meginregla nethlutleysis sem snýr að fjarskiptafyrirtækjum felur þannig í sér að þau skuli flytja öll rafræn samskipti óháð efnisinnihaldi, hugbúnaði, notkunareiginleikum, þjónustu, búnaði, upprunavistfangi eða móttökuvistfangi. Þessi skylda er ekki án undantekninga, en gert er ráð fyrir að í ákveðnum tilfellum sé heimilt að beita umferðarstýringum, t.d. til að bregðast við álagi á fjarskiptanetum, enda sé þeim beitt á jafnræðisgrundvelli, þær séu hóflegar og vari ekki lengur en þörf er á.</w:t>
      </w:r>
    </w:p>
    <w:p w:rsidR="005F4087" w:rsidRPr="005F4087" w:rsidRDefault="005F4087" w:rsidP="005F4087">
      <w:pPr>
        <w:autoSpaceDE w:val="0"/>
        <w:autoSpaceDN w:val="0"/>
        <w:adjustRightInd w:val="0"/>
      </w:pPr>
      <w:r w:rsidRPr="005F4087">
        <w:t xml:space="preserve"> </w:t>
      </w:r>
    </w:p>
    <w:p w:rsidR="005F4087" w:rsidRPr="005F4087" w:rsidRDefault="005F4087" w:rsidP="005F4087">
      <w:pPr>
        <w:pStyle w:val="Millifyrirsgn2"/>
      </w:pPr>
      <w:r w:rsidRPr="005F4087">
        <w:t>Skilyrði fyrir framboði á sérþjónustu</w:t>
      </w:r>
    </w:p>
    <w:p w:rsidR="005F4087" w:rsidRPr="005F4087" w:rsidRDefault="005F4087" w:rsidP="005F4087">
      <w:pPr>
        <w:autoSpaceDE w:val="0"/>
        <w:autoSpaceDN w:val="0"/>
        <w:adjustRightInd w:val="0"/>
      </w:pPr>
      <w:r w:rsidRPr="005F4087">
        <w:t xml:space="preserve">Sett eru sérstök skilyrði fyrir framboði á sérþjónustu (e. specialised services), en um er að ræða þjónustu sem er þess eðlis að </w:t>
      </w:r>
      <w:r w:rsidR="00F61B3E">
        <w:t>hún</w:t>
      </w:r>
      <w:r w:rsidR="00F61B3E" w:rsidRPr="005F4087">
        <w:t xml:space="preserve"> </w:t>
      </w:r>
      <w:r w:rsidRPr="005F4087">
        <w:t>krefst tiltekinna gæðaskilyrða til þess að vera nothæf, t.d. tryggða bandbreidd eða forgang. Samkvæmt nethlutleysisreglum er fjarskiptafyrirtækjum heimilt að bjóða slíka þjónustu en eingöngu gegn því skilyrði að slík sérþjónust</w:t>
      </w:r>
      <w:r w:rsidR="00F61B3E">
        <w:t>a</w:t>
      </w:r>
      <w:r w:rsidRPr="005F4087">
        <w:t xml:space="preserve"> rýri ekki gæði hins almenna </w:t>
      </w:r>
      <w:r w:rsidR="009F44A8">
        <w:t>i</w:t>
      </w:r>
      <w:r w:rsidRPr="005F4087">
        <w:t xml:space="preserve">nternets, þ.e. þeirrar </w:t>
      </w:r>
      <w:r w:rsidR="009F44A8">
        <w:t>i</w:t>
      </w:r>
      <w:r w:rsidRPr="005F4087">
        <w:t>nternetþjónustu sem stendur notendum til boða án yfirgjalds (e. premium price service).</w:t>
      </w:r>
    </w:p>
    <w:p w:rsidR="005F4087" w:rsidRPr="005F4087" w:rsidRDefault="005F4087" w:rsidP="005F4087">
      <w:pPr>
        <w:autoSpaceDE w:val="0"/>
        <w:autoSpaceDN w:val="0"/>
        <w:adjustRightInd w:val="0"/>
      </w:pPr>
      <w:r w:rsidRPr="005F4087">
        <w:t xml:space="preserve"> </w:t>
      </w:r>
    </w:p>
    <w:p w:rsidR="005F4087" w:rsidRPr="005F4087" w:rsidRDefault="005F4087" w:rsidP="005F4087">
      <w:pPr>
        <w:pStyle w:val="Millifyrirsgn2"/>
      </w:pPr>
      <w:r w:rsidRPr="005F4087">
        <w:t>Gagnsæi og upplýsingagjöf til neytenda</w:t>
      </w:r>
    </w:p>
    <w:p w:rsidR="005F4087" w:rsidRPr="005F4087" w:rsidRDefault="005F4087" w:rsidP="00524F35">
      <w:pPr>
        <w:autoSpaceDE w:val="0"/>
        <w:autoSpaceDN w:val="0"/>
        <w:adjustRightInd w:val="0"/>
      </w:pPr>
      <w:r w:rsidRPr="005F4087">
        <w:t>Einn þáttur nethlutleysis snýr að upplýsingagjöf til áskrifenda. Í reglunni er mælt fyrir um þau atriði sem fjarskiptafyrirtæki er skylt að upplýsa viðskiptavini sína um í samningum við þá. Eru þetta atriði á borð við:</w:t>
      </w:r>
    </w:p>
    <w:p w:rsidR="005F4087" w:rsidRPr="005F4087" w:rsidRDefault="00524F35" w:rsidP="00524F35">
      <w:pPr>
        <w:autoSpaceDE w:val="0"/>
        <w:autoSpaceDN w:val="0"/>
        <w:adjustRightInd w:val="0"/>
        <w:ind w:left="568" w:hanging="284"/>
      </w:pPr>
      <w:r>
        <w:t xml:space="preserve">- </w:t>
      </w:r>
      <w:r w:rsidR="005F4087" w:rsidRPr="005F4087">
        <w:t>Upplýsingar um hvernig umferðarstýringar sem þjónustuveitandi viðhefur geti haft áhrif á gæði þjónustunnar og öryggi persónuupplýsinga.</w:t>
      </w:r>
    </w:p>
    <w:p w:rsidR="005F4087" w:rsidRPr="005F4087" w:rsidRDefault="00524F35" w:rsidP="00524F35">
      <w:pPr>
        <w:autoSpaceDE w:val="0"/>
        <w:autoSpaceDN w:val="0"/>
        <w:adjustRightInd w:val="0"/>
        <w:ind w:left="568" w:hanging="284"/>
      </w:pPr>
      <w:r>
        <w:t xml:space="preserve">- </w:t>
      </w:r>
      <w:r w:rsidR="005F4087" w:rsidRPr="005F4087">
        <w:t xml:space="preserve">Ítarlegar og greinargóðar útskýringar á því hvernig gagnaþök og viðmið um hraða og gæði hafa áhrif á </w:t>
      </w:r>
      <w:r w:rsidR="009F44A8">
        <w:t>i</w:t>
      </w:r>
      <w:r w:rsidR="005F4087" w:rsidRPr="005F4087">
        <w:t>nternetþjónustuna, sérstaklega með tilliti notkunar efnis, forrita og þjónustu.</w:t>
      </w:r>
    </w:p>
    <w:p w:rsidR="005F4087" w:rsidRPr="005F4087" w:rsidRDefault="00524F35" w:rsidP="00524F35">
      <w:pPr>
        <w:autoSpaceDE w:val="0"/>
        <w:autoSpaceDN w:val="0"/>
        <w:adjustRightInd w:val="0"/>
        <w:ind w:left="568" w:hanging="284"/>
      </w:pPr>
      <w:r>
        <w:t xml:space="preserve">- </w:t>
      </w:r>
      <w:r w:rsidR="005F4087" w:rsidRPr="005F4087">
        <w:t>Hvernig sérþjónusta sem að endanotandi pantar sér geti haft áhrif á almennan netaðgang hans.</w:t>
      </w:r>
    </w:p>
    <w:p w:rsidR="005F4087" w:rsidRPr="005F4087" w:rsidRDefault="00524F35" w:rsidP="00524F35">
      <w:pPr>
        <w:autoSpaceDE w:val="0"/>
        <w:autoSpaceDN w:val="0"/>
        <w:adjustRightInd w:val="0"/>
        <w:ind w:left="568" w:hanging="284"/>
      </w:pPr>
      <w:r>
        <w:t xml:space="preserve">- </w:t>
      </w:r>
      <w:r w:rsidR="005F4087" w:rsidRPr="005F4087">
        <w:t>Ítarlegar og greinargóðar upplýsingar um gagnaflutningshraða (bæði í upphali og niðurhali), þ.e. lágmarkshraða, venjulega aðgengilegan hraða, hámarkshraða og auglýstan hraða í fastanetum. Í farnetum þarf að upplýsa um áætlaðan hraða. Enn fremur hvernig frávik frá þessu geti haft áhrif á réttindi endanotanda til að geta náð sér í og miðlað efni að eigin vali.</w:t>
      </w:r>
    </w:p>
    <w:p w:rsidR="005F4087" w:rsidRPr="005F4087" w:rsidRDefault="00524F35" w:rsidP="00524F35">
      <w:pPr>
        <w:autoSpaceDE w:val="0"/>
        <w:autoSpaceDN w:val="0"/>
        <w:adjustRightInd w:val="0"/>
        <w:ind w:left="568" w:hanging="284"/>
      </w:pPr>
      <w:r>
        <w:lastRenderedPageBreak/>
        <w:t xml:space="preserve">- </w:t>
      </w:r>
      <w:r w:rsidR="005F4087" w:rsidRPr="005F4087">
        <w:t>Ítarlegar og greinargóðar upplýsingar um það hvaða úrræði endanotendum standi til boða ef um er að ræða varanlegt eða reglubundið misræmi á raungæðum og auglýstum gæðum (bætur, endurgreiðsla, o.s.frv.).</w:t>
      </w:r>
    </w:p>
    <w:p w:rsidR="005F4087" w:rsidRPr="005F4087" w:rsidRDefault="005F4087" w:rsidP="005F4087">
      <w:pPr>
        <w:autoSpaceDE w:val="0"/>
        <w:autoSpaceDN w:val="0"/>
        <w:adjustRightInd w:val="0"/>
      </w:pPr>
    </w:p>
    <w:p w:rsidR="005F4087" w:rsidRPr="005F4087" w:rsidRDefault="005F4087" w:rsidP="005F4087">
      <w:pPr>
        <w:autoSpaceDE w:val="0"/>
        <w:autoSpaceDN w:val="0"/>
        <w:adjustRightInd w:val="0"/>
      </w:pPr>
      <w:r w:rsidRPr="005F4087">
        <w:t xml:space="preserve">Tilgangur þessarar upplýsingagjafar er að notendur geti tekið upplýsta ákvörðun um val á fjarskiptafyrirtæki og metið hvaða áhrif lögmætar umferðarstýringar geti haft á fjarskiptanotkun þeirra. </w:t>
      </w:r>
    </w:p>
    <w:p w:rsidR="005F4087" w:rsidRPr="005F4087" w:rsidRDefault="005F4087" w:rsidP="005F4087">
      <w:pPr>
        <w:autoSpaceDE w:val="0"/>
        <w:autoSpaceDN w:val="0"/>
        <w:adjustRightInd w:val="0"/>
      </w:pPr>
    </w:p>
    <w:p w:rsidR="005F4087" w:rsidRPr="005F4087" w:rsidRDefault="005F4087" w:rsidP="005F4087">
      <w:pPr>
        <w:pStyle w:val="Millifyrirsgn2"/>
      </w:pPr>
      <w:r w:rsidRPr="005F4087">
        <w:t xml:space="preserve">Lágmarkskröfur til </w:t>
      </w:r>
      <w:r w:rsidR="009F44A8">
        <w:t>i</w:t>
      </w:r>
      <w:r w:rsidRPr="005F4087">
        <w:t xml:space="preserve">nternetþjónustugæða </w:t>
      </w:r>
    </w:p>
    <w:p w:rsidR="005F4087" w:rsidRPr="005F4087" w:rsidRDefault="005F4087" w:rsidP="005F4087">
      <w:pPr>
        <w:autoSpaceDE w:val="0"/>
        <w:autoSpaceDN w:val="0"/>
        <w:adjustRightInd w:val="0"/>
      </w:pPr>
      <w:r w:rsidRPr="005F4087">
        <w:t xml:space="preserve">Mikilvægur þáttur nethlutleysis, sem felur í sér í nýmæli á sviði fjarskiptaeftirlits, er að heimila fjarskiptaeftirlitsstjórnvaldinu að setja kröfur um tæknileg skilyrði og lágmarksgæði netsþjónustu. Hér getur verið um að ræða kröfur til lágmarksgagnaflutningshraða, miðað við tilteknar álagsforsendur, biðtíma (e. latency) og flökt (e. jitter) í gagnaflutningsþjónustu. Hefur fjarskiptaeftirlitsstofnun Evrópu (BEREC) verið falið að setja leiðbeiningar um mæliviðmið og mæliaðferðir í þessu sambandi, sem fjarskiptaeftirlitsstjórnvöldum innan aðildarríkja EES er ætlað að horfa til. </w:t>
      </w:r>
    </w:p>
    <w:p w:rsidR="00D0740D" w:rsidRDefault="00D0740D" w:rsidP="00D0740D"/>
    <w:p w:rsidR="00D0740D" w:rsidRDefault="00D0740D" w:rsidP="00D0740D">
      <w:pPr>
        <w:pStyle w:val="Millifyrirsgn1"/>
      </w:pPr>
      <w:r>
        <w:t xml:space="preserve">IV. Samræmi við stjórnarskrá og alþjóðlegar skuldbindingar. </w:t>
      </w:r>
    </w:p>
    <w:p w:rsidR="007431CA" w:rsidRDefault="00524F35" w:rsidP="007431CA">
      <w:r>
        <w:t>Líkt og fram kemur að ofan byggi</w:t>
      </w:r>
      <w:r w:rsidR="00F61B3E">
        <w:t>st</w:t>
      </w:r>
      <w:r>
        <w:t xml:space="preserve"> efni frumvarpsins á alþjóðlegum skuldbindingum </w:t>
      </w:r>
      <w:r w:rsidR="007431CA">
        <w:t>er leiða af EES-samningnum en a</w:t>
      </w:r>
      <w:r>
        <w:t xml:space="preserve">ð öðru leyti </w:t>
      </w:r>
      <w:r w:rsidR="007431CA">
        <w:t xml:space="preserve">gefur </w:t>
      </w:r>
      <w:r>
        <w:t xml:space="preserve"> efni frumvarpsins ekki tilefni til þess að skoða </w:t>
      </w:r>
      <w:r w:rsidR="007431CA">
        <w:t xml:space="preserve">alþjóðlegar skuldbindingar. </w:t>
      </w:r>
    </w:p>
    <w:p w:rsidR="007431CA" w:rsidRPr="007431CA" w:rsidRDefault="007431CA" w:rsidP="007431CA">
      <w:r>
        <w:t xml:space="preserve">Efni </w:t>
      </w:r>
      <w:r>
        <w:rPr>
          <w:szCs w:val="21"/>
        </w:rPr>
        <w:t>frumvarpsins</w:t>
      </w:r>
      <w:r w:rsidRPr="00AD5DA6">
        <w:rPr>
          <w:szCs w:val="21"/>
        </w:rPr>
        <w:t xml:space="preserve"> gefur ekki tilefni til</w:t>
      </w:r>
      <w:r>
        <w:rPr>
          <w:szCs w:val="21"/>
        </w:rPr>
        <w:t xml:space="preserve"> að ætla að það stangist á við S</w:t>
      </w:r>
      <w:r w:rsidRPr="00AD5DA6">
        <w:rPr>
          <w:szCs w:val="21"/>
        </w:rPr>
        <w:t>tjórnarskrá</w:t>
      </w:r>
      <w:r>
        <w:rPr>
          <w:szCs w:val="21"/>
        </w:rPr>
        <w:t xml:space="preserve">. </w:t>
      </w:r>
    </w:p>
    <w:p w:rsidR="00D0740D" w:rsidRDefault="00D0740D" w:rsidP="007431CA">
      <w:pPr>
        <w:ind w:firstLine="0"/>
      </w:pPr>
    </w:p>
    <w:p w:rsidR="00D0740D" w:rsidRDefault="00D0740D" w:rsidP="00D0740D">
      <w:pPr>
        <w:pStyle w:val="Millifyrirsgn1"/>
      </w:pPr>
      <w:r>
        <w:t xml:space="preserve">V. Samráð. </w:t>
      </w:r>
    </w:p>
    <w:p w:rsidR="00D0740D" w:rsidRDefault="007431CA" w:rsidP="00D0740D">
      <w:r>
        <w:t xml:space="preserve">Frumvarpið var </w:t>
      </w:r>
      <w:r w:rsidR="00F61B3E">
        <w:t xml:space="preserve">birt </w:t>
      </w:r>
      <w:r>
        <w:t xml:space="preserve">til kynningar á vef ráðuneytisins. </w:t>
      </w:r>
    </w:p>
    <w:p w:rsidR="007431CA" w:rsidRDefault="007431CA" w:rsidP="00D0740D"/>
    <w:p w:rsidR="00D0740D" w:rsidRDefault="00D0740D" w:rsidP="00D0740D">
      <w:pPr>
        <w:pStyle w:val="Millifyrirsgn1"/>
      </w:pPr>
      <w:r>
        <w:t xml:space="preserve">VI. Mat á áhrifum. </w:t>
      </w:r>
    </w:p>
    <w:p w:rsidR="007431CA" w:rsidRDefault="007431CA" w:rsidP="00D0740D">
      <w:r>
        <w:t>Það er mat innanríkisráðuneytisins að áhrif af lagabreytingunn</w:t>
      </w:r>
      <w:r w:rsidR="004F70B4">
        <w:t xml:space="preserve">i séu jákvæð fyrir notendur og </w:t>
      </w:r>
      <w:r w:rsidR="009F44A8">
        <w:t>i</w:t>
      </w:r>
      <w:r>
        <w:t xml:space="preserve">nternetþjónustu. </w:t>
      </w:r>
    </w:p>
    <w:p w:rsidR="007431CA" w:rsidRDefault="007431CA" w:rsidP="00D0740D">
      <w:r>
        <w:rPr>
          <w:szCs w:val="21"/>
        </w:rPr>
        <w:t xml:space="preserve">Frumvarpið hefur engan kostnað í för með sér fyrir ríkissjóð verði það að lögum. </w:t>
      </w:r>
    </w:p>
    <w:p w:rsidR="00D0740D" w:rsidRDefault="00D0740D" w:rsidP="007431CA">
      <w:pPr>
        <w:ind w:firstLine="0"/>
      </w:pPr>
    </w:p>
    <w:p w:rsidR="007431CA" w:rsidRDefault="007431CA" w:rsidP="007431CA">
      <w:pPr>
        <w:ind w:firstLine="0"/>
      </w:pPr>
    </w:p>
    <w:p w:rsidR="00C35574" w:rsidRDefault="00C35574" w:rsidP="00943B67">
      <w:pPr>
        <w:pStyle w:val="Greinarfyrirsgn"/>
      </w:pPr>
      <w:r>
        <w:t>Athugasemdir við einstakar greinar frumvarpsins.</w:t>
      </w:r>
    </w:p>
    <w:p w:rsidR="00C35574" w:rsidRDefault="00C35574" w:rsidP="00943B67">
      <w:pPr>
        <w:pStyle w:val="Greinarnmer"/>
      </w:pPr>
      <w:r>
        <w:t>Um 1. gr.</w:t>
      </w:r>
    </w:p>
    <w:p w:rsidR="00601783" w:rsidRPr="00601783" w:rsidRDefault="00601783" w:rsidP="00601783">
      <w:r w:rsidRPr="00601783">
        <w:t xml:space="preserve">Reglan um nethlutleysi tekur m.a. til þeirra stýringa sem fjarskiptafyrirtækjum er heimilt að viðhafa við stjórnun fjarskiptaumferðar. Slíkar stýringar geta verið ráðstafanir sem gerðar eru í miðlægum símstöðvarbúnaði, en geta einnig verið afleiðingar af því hvernig tæknilegir sniðfletir eru skilgreindir í samskiptalagi neta, t.d. við samtengingu. Við samtengingu almennra fjarskiptaneta reynir á það hvernig fjarskiptaumferð er afhent frá einu fjarskiptafyrirtæki til annars, hvernig er tekið á móti umferðinni og henni miðlað áfram. Um þetta fjalla m.a. samtengisamningar milli fjarskiptafyrirtækja. Samtenging almennra fjarskiptaneta er því rétti vettvangurinn fyrir fjarskiptafyrirtæki til að upplýsa um þær umferðarstýringar sem þau áskilja sér. Rétt þykir að fjarskiptafyrirtæki geri hvort öðru grein fyrir hvaða stýringar kunna að vera viðhafðar til að hafa áhrif á flæði fjarskiptaumferðar og tilgreini þær í samtengisamningum sín á milli. Hér er ekki um ræða kröfu um tæknilega lýsingu á stýringunni eða tilgreiningu á tegund búnaðar eða forrits til þessara nota, heldur fremur tilgreining á eðli og virkni ráðstöfunarinnar. Sömu sjónarmið eiga við í samningum </w:t>
      </w:r>
      <w:r w:rsidRPr="00601783">
        <w:lastRenderedPageBreak/>
        <w:t>sýndarnetsaðila við netrekendur almennra fjarskiptaneta. Sýndarnetsaðilinn þarf að vera upplýstur um það hvaða umferðarstýringar netrekandinn viðhefur sem haft getur áhrif á þá þjónustu sem sýndarnetsaðilinn veitir viðskiptavinum sínum og er skylt að upplýsa þá um. Tekið skal fram að umferðarstýringar sem fjarskiptafyrirtæki áskilja sér þurfa að vera lögmætar og vísar orðalag ákvæðisins til þess. Hér er um ræða þau skilyrði sem þurfa að vera fyrir hendi samkvæmt 3. – 4. mgr. b.-liðar 2. gr. frumvarps þessa og nánar er mælt fyrir um í reglugerð sem ráðherra setur.</w:t>
      </w:r>
    </w:p>
    <w:p w:rsidR="00601783" w:rsidRDefault="00601783" w:rsidP="00943B67"/>
    <w:p w:rsidR="00601783" w:rsidRDefault="00601783" w:rsidP="00601783">
      <w:pPr>
        <w:pStyle w:val="Greinarnmer"/>
      </w:pPr>
      <w:r>
        <w:t>Um 2. gr.</w:t>
      </w:r>
    </w:p>
    <w:p w:rsidR="00601783" w:rsidRPr="00601783" w:rsidRDefault="00601783" w:rsidP="00601783">
      <w:r w:rsidRPr="00601783">
        <w:t xml:space="preserve">Í a.-lið ákvæðisins er fjallað um þær breytingar sem verða á reglusetningarheimild Póst- og fjarskiptastofnunar um IP-fjarskiptaþjónustu. Horfa þær til þess að nethlutleysi felur í sér kröfur um lágmarksgæði IP-fjarskiptaþjónustu, þ.e. að notendur hafi aðgang að nothæfri </w:t>
      </w:r>
      <w:r w:rsidR="009F44A8">
        <w:t>i</w:t>
      </w:r>
      <w:r w:rsidRPr="00601783">
        <w:t>nternetþjónustu sem fullnægir öllum þörfum daglegs lífs í tæknivæddu upplýsingasamfélagi, s.s. á sviði atvinnu, menntunar, rannsókna og afþreyingar. Ljóst er að þróunin hefur orðið sú að ýms algeng þjónust</w:t>
      </w:r>
      <w:r w:rsidR="00F61B3E">
        <w:t>a</w:t>
      </w:r>
      <w:r w:rsidRPr="00601783">
        <w:t xml:space="preserve"> krefst töluverðs gagnaflutningshraða til þess að </w:t>
      </w:r>
      <w:r w:rsidR="00F61B3E">
        <w:t>hún</w:t>
      </w:r>
      <w:r w:rsidR="00F61B3E" w:rsidRPr="00601783">
        <w:t xml:space="preserve"> </w:t>
      </w:r>
      <w:r w:rsidRPr="00601783">
        <w:t xml:space="preserve">virki sem skyldi. Til að tryggja aðgengi notenda að opnu og nothæfu </w:t>
      </w:r>
      <w:r w:rsidR="009F44A8">
        <w:t>i</w:t>
      </w:r>
      <w:r w:rsidRPr="00601783">
        <w:t xml:space="preserve">nterneti hefur eftirlitstjórnvöldum verið falið að skilgreina lágmarkskröfur um gæði </w:t>
      </w:r>
      <w:r w:rsidR="009F44A8">
        <w:t>i</w:t>
      </w:r>
      <w:r w:rsidRPr="00601783">
        <w:t>nternetþjónustu. Í fyrstu málsgrein ákvæðisins er bætt við viðbótarstafliðum við 2. mgr. 41. gr. fjarskiptalaga sem felur í sér lagastoð fyrir innleiðingu á 5. gr. TSM reglugerðarinnar. Á grundvelli þessa ákvæðis frumvarpsins verður Póst- og fjarskiptastofnun heimilt að skilgreina lágmarkskröfur um gæði IP-fjarskiptaþjónustunnar. Hér undir falla atriði á borð við gagnaflutningshraða, álagsviðmið, biðtíma og flökt (e. latency og jitter). Einnig tæknilegir sniðfletir og tæknikröfur sem áhrif geta haft á gæði IP-fjarskiptaumferðar. Þá verður Póst- og fjarskiptastofnun heimilt að setja</w:t>
      </w:r>
      <w:r w:rsidR="00F61B3E">
        <w:t xml:space="preserve"> reglur um</w:t>
      </w:r>
      <w:r w:rsidRPr="00601783">
        <w:t xml:space="preserve"> hvernig gæðin verða mæld og prófuð. Á grundvelli ákvæðisins verður fjarskiptafyrirtækjum jafnframt skylt að afhenda Póst- og fjarskiptastofnun allar upplýsingar sem nauðsynlegar eru til að leggja mat á gæði IP-fjarskiptaþjónustu og framkvæma prófanir.</w:t>
      </w:r>
    </w:p>
    <w:p w:rsidR="00901F39" w:rsidRDefault="00601783" w:rsidP="00601783">
      <w:r w:rsidRPr="00601783">
        <w:t xml:space="preserve">b.-liður ákvæðisins varðar innleiðingu á meginþáttum nethlutleysis samkvæmt TSM reglugerðinni. </w:t>
      </w:r>
    </w:p>
    <w:p w:rsidR="00601783" w:rsidRDefault="00601783" w:rsidP="00601783">
      <w:r w:rsidRPr="00601783">
        <w:t xml:space="preserve">Í 1. mgr. </w:t>
      </w:r>
      <w:r w:rsidR="00901F39">
        <w:t>b</w:t>
      </w:r>
      <w:r w:rsidR="00724F28">
        <w:t>.</w:t>
      </w:r>
      <w:r w:rsidR="00901F39">
        <w:t>-liðar</w:t>
      </w:r>
      <w:r w:rsidRPr="00601783">
        <w:t xml:space="preserve"> er </w:t>
      </w:r>
      <w:r w:rsidR="00901F39">
        <w:t>innleidd meginreglan</w:t>
      </w:r>
      <w:r w:rsidRPr="00601783">
        <w:t xml:space="preserve"> um hið opna internet sem þegnum aðildarríkja EES skal standa til boða, sbr. 3. </w:t>
      </w:r>
      <w:r w:rsidR="00901F39">
        <w:t>g</w:t>
      </w:r>
      <w:r w:rsidRPr="00601783">
        <w:t xml:space="preserve">r. </w:t>
      </w:r>
      <w:r w:rsidR="00901F39">
        <w:t xml:space="preserve">TSM </w:t>
      </w:r>
      <w:r w:rsidRPr="00601783">
        <w:t>reglugerðarinnar. Tengist þessi regla meginmarkmiði hins evrópska fjarskiptaregluverks um að allir þegnar EES-</w:t>
      </w:r>
      <w:r w:rsidR="001A616C">
        <w:t>ríkja</w:t>
      </w:r>
      <w:r w:rsidRPr="00601783">
        <w:t xml:space="preserve"> skulu eiga rétt til aðgangs að efni og þjónustu á </w:t>
      </w:r>
      <w:r w:rsidR="009F44A8">
        <w:t>i</w:t>
      </w:r>
      <w:r w:rsidRPr="00601783">
        <w:t xml:space="preserve">nternetinu og að ekki megi skerða þennan rétt án þess að uppfyllt séu skilyrði til skerðingar á grundvallarréttindum samkvæmt Mannréttindasáttmála Evrópu, sbr. 1. gr. rammatilskipunar Evrópuþingsins og </w:t>
      </w:r>
      <w:r w:rsidR="001A616C">
        <w:t>r</w:t>
      </w:r>
      <w:r w:rsidRPr="00601783">
        <w:t xml:space="preserve">áðsins nr. 2002/21/EB, eins og henni var breytt með tilskipun nr. 2009/140/EB. Segja má að nethlutleysisreglan sé nánari framkvæmd á þessum rétti. Með tilliti til þessa ber að skýra ákvæðið rúmt með hagsmuni notenda að leiðarljósi. Þó ber að taka fram að tilgangurinn með þessu ákvæði er ekki að heimila notkun eða aðgang að efni eða þjónustu sem brýtur gegn öðrum lögum eða leiðir af dómsúrskurði. </w:t>
      </w:r>
    </w:p>
    <w:p w:rsidR="00BD697D" w:rsidRDefault="00BD697D" w:rsidP="00BD697D">
      <w:r>
        <w:t>Í 2. mgr. b</w:t>
      </w:r>
      <w:r w:rsidR="001A616C">
        <w:t>.</w:t>
      </w:r>
      <w:r>
        <w:t xml:space="preserve">-liðar kemur fram meginreglan um að meðhöndla skuli netumferð á jafnræðisgrundvelli.  </w:t>
      </w:r>
    </w:p>
    <w:p w:rsidR="00601783" w:rsidRPr="00601783" w:rsidRDefault="00601783" w:rsidP="00BD697D">
      <w:r w:rsidRPr="00601783">
        <w:t>Í 3. mgr.</w:t>
      </w:r>
      <w:r w:rsidR="00BD697D">
        <w:t xml:space="preserve"> b</w:t>
      </w:r>
      <w:r w:rsidR="001A616C">
        <w:t>.</w:t>
      </w:r>
      <w:r w:rsidR="00BD697D">
        <w:t>-liðar</w:t>
      </w:r>
      <w:r w:rsidRPr="00601783">
        <w:t xml:space="preserve"> er </w:t>
      </w:r>
      <w:r w:rsidR="00BD697D">
        <w:t xml:space="preserve">aftur á móti </w:t>
      </w:r>
      <w:r w:rsidRPr="00601783">
        <w:t xml:space="preserve">vikið að þeim undantekningum sem heimilar eru á reglum um nethlutleysi. Fela slíkar undantekningar einkum í sér málefnalegar og nauðsynlegar ráðstafanir fjarskiptafyrirtækja til að hafa áhrif á flæði fjarskiptaumferðar, t.d. </w:t>
      </w:r>
      <w:r w:rsidR="00BD697D">
        <w:t xml:space="preserve">þegar það er tæknilega nauðsynlegt eða </w:t>
      </w:r>
      <w:r w:rsidRPr="00601783">
        <w:t>þegar áskriftir gera ráð fyrir tilteknum gagnaflutningshraða eða gagnaþaki. Ekki er heimilt að beita umferða</w:t>
      </w:r>
      <w:r w:rsidR="00724F28">
        <w:t>r</w:t>
      </w:r>
      <w:r w:rsidRPr="00601783">
        <w:t xml:space="preserve">stýringum í </w:t>
      </w:r>
      <w:r w:rsidRPr="00601783">
        <w:lastRenderedPageBreak/>
        <w:t>viðskiptalegum og/eða samkeppnislegum tilgangi, t.d. með því að beina viðskiptavinum í eða frá tiltek</w:t>
      </w:r>
      <w:r w:rsidR="0004582A">
        <w:t>i</w:t>
      </w:r>
      <w:r w:rsidRPr="00601783">
        <w:t>n</w:t>
      </w:r>
      <w:r w:rsidR="0004582A">
        <w:t>ni</w:t>
      </w:r>
      <w:r w:rsidRPr="00601783">
        <w:t xml:space="preserve"> þjónustu. Ætla verður að umferðarstýringar geti haft slíkt að markmiði nema fjarskiptafyrirtæki geti sýnt fram á að það sé tæknileg þörf fyrir stýringunni. Þá getur í undantekningartilvikum verið heimilt að beita umferðarstýringum sem ganga lengra en sem leiðir af eðlilegri stjórnun fjarskiptaumferðar, en eingöngu samkvæmt skilyrðum sem mælt er fyrir um í reglugerð og gert er ráð fyrir að séu háð þröngri lögskýringu. Sem dæmi má búast við því að umferðarstýringar geti verið notaðar til að hindra aðgang að efni sem er ólögmætt samkvæmt öðrum lögum eða fyrirmælum dómsúrskurðar. Einnig getur verið þörf á því að bregðast við atvikum sem varða heildstæði og þanþol fjarskiptaneta á álagstímum. Slíkum stýringum skal beitt á jafnréttisgrundvelli og mega þær aðeins vara </w:t>
      </w:r>
      <w:r w:rsidR="00A5574E">
        <w:t>meðan</w:t>
      </w:r>
      <w:r w:rsidRPr="00601783">
        <w:t xml:space="preserve"> þörf er á. Í þessu felst annars vegar að meðhöndla skuli sambærilega fjarskiptaumferð á sambærilegan hátt og getur það réttlætt að gerður sé munur á ólíkum tegundum fjarskiptaumferðar, svo fremi sem sömu stýringu sé beitt fyrir hverja tegund. Hins vegar felur krafa um að stýring skuli ekki vara lengur en nauðsyn ber til í sér að fjarskiptafyrirtæki þurfi að gera sanngjarnar ráðstafanir, innan eðlilegs tíma, til að auka rýmd í fjarskiptaneti sínu fremur en að beita álagsbundnum umferðarstýringum með viðvarandi hætti. </w:t>
      </w:r>
    </w:p>
    <w:p w:rsidR="00601783" w:rsidRPr="00601783" w:rsidRDefault="00BD697D" w:rsidP="00601783">
      <w:r>
        <w:t>Loks er í</w:t>
      </w:r>
      <w:r w:rsidR="00601783" w:rsidRPr="00601783">
        <w:t xml:space="preserve"> 4. mgr.</w:t>
      </w:r>
      <w:r>
        <w:t xml:space="preserve"> b-liðar ákvæðisins</w:t>
      </w:r>
      <w:r w:rsidR="00601783" w:rsidRPr="00601783">
        <w:t xml:space="preserve"> </w:t>
      </w:r>
      <w:r>
        <w:t>lagt til að ráðherra skuli setja</w:t>
      </w:r>
      <w:r w:rsidR="00601783" w:rsidRPr="00601783">
        <w:t xml:space="preserve"> </w:t>
      </w:r>
      <w:r>
        <w:t>reglugerð</w:t>
      </w:r>
      <w:r w:rsidR="00601783" w:rsidRPr="00601783">
        <w:t xml:space="preserve"> til nánari útfærslu á meginþáttum nethlutleysis samkvæmt 1. – 3. mgr. b.-liðar 2. gr. frumvarps þessa, m.a. skilyrði fyrir beitingu umferðarstýringar og undirbyggja lagastoð til innleiðingar á öðrum þáttum TSM reglugerðarinnar sem varða nethlutleysi. Er hér um að ræða gildissvið og orðskýringarákvæði reglugerðarinnar, sbr. 1</w:t>
      </w:r>
      <w:r w:rsidR="0004582A">
        <w:t>.</w:t>
      </w:r>
      <w:r w:rsidR="00601783" w:rsidRPr="00601783">
        <w:t xml:space="preserve"> – 2. gr. hennar, vernd friðhelgi einkalífs, ef beiting umferðarstýringa kalla</w:t>
      </w:r>
      <w:r w:rsidR="0004582A">
        <w:t>r</w:t>
      </w:r>
      <w:r w:rsidR="00601783" w:rsidRPr="00601783">
        <w:t xml:space="preserve"> á vinnslu persónuupplýsinga og skilyrði fyrir framboði á sérþjónustu, sbr. 3. – 4. mgr. 3. gr., ákvæði um ráðstafanir varðandi gagnsæi og upplýsingaskyldu fjarskiptafyrirtækja gagnvart áskrifendum sínum, sbr. 4. gr. og eftirlitssúrræði samkvæmt 5. gr. TSM reglugerðarinnar. </w:t>
      </w:r>
    </w:p>
    <w:p w:rsidR="00601783" w:rsidRDefault="00601783" w:rsidP="00943B67"/>
    <w:p w:rsidR="00601783" w:rsidRDefault="00601783" w:rsidP="00601783">
      <w:pPr>
        <w:pStyle w:val="Greinarnmer"/>
      </w:pPr>
      <w:r>
        <w:t>Um 3. gr.</w:t>
      </w:r>
    </w:p>
    <w:p w:rsidR="00601783" w:rsidRPr="00601783" w:rsidRDefault="00601783" w:rsidP="00601783">
      <w:r w:rsidRPr="00601783">
        <w:t xml:space="preserve">Í 6. gr. TSM reglugerðarinnar er ætlast til þess að sett séu viðurlagaákvæði vegna brota á reglum um nethlutleysi. Tekur þetta til brota gegn meginþáttum nethlutleysis samkvæmt 3. og 4. gr. reglugerðarinnar og í þeim tilvikum þegar fjarskiptafyrirtæki virðir að vettugi eftirlitsúrræði, sbr. 5. gr. hennar. Hvað varðar hið síðastnefnda atriði verður að telja að almenn og gildandi viðurlaga- og dagsektarákvæði taki til brota af því tagi. Hins vegar er ljóst að mæla þarf fyrir um verknaðarlýsingu hvað varðar brot gegn efnisákvæðum nethlutleysisreglna. Er ákvæðinu ætlað að ná til umferðarstýringar sem takmarkar </w:t>
      </w:r>
      <w:r w:rsidR="009F44A8">
        <w:t>i</w:t>
      </w:r>
      <w:r w:rsidRPr="00601783">
        <w:t>nternetþjónustu með ólögmætum hætti gagnvart einstökum viðskiptavinum sem og umferða</w:t>
      </w:r>
      <w:r w:rsidR="0004582A">
        <w:t>r</w:t>
      </w:r>
      <w:r w:rsidRPr="00601783">
        <w:t xml:space="preserve">stýringar sem beitt er með heildstæðum hætti á öllu fjarskiptanetinu og hefur með ólögmætum hætti áhrif á þá </w:t>
      </w:r>
      <w:r w:rsidR="009F44A8">
        <w:t>i</w:t>
      </w:r>
      <w:r w:rsidRPr="00601783">
        <w:t>nternetþjónustu sem fjarskiptafyrirtækið veitir. Ekki er að finna almenna heimild fyrir Póst- og fjarskiptastofnun til að leggja á stjórnvaldssektir. Nethlutleysisreglur eru hins vegar þess eðlis, m.a. vegna þess að þær varða tækni- og kerfislegar aðgerðir fjarskiptafyrirtækja, að ekki þykir skynsamlegt að slík brot skuli eingöngu sæta almennum viðurlagaákvæðum sem krefjast ákærumeðferðar af hálfu lögreglu og málsmeðferðar fyrir dómi. Við ritun þessa ákvæðis var því höfð hliðsjón af 3. – 4. mgr. 54. gr. laga um fjölmiðla nr. 38/2011, sem hafa að geyma sektarheimild til handa Póst- og fjarskiptastofnun vegna brota á tilteknum ákvæðum fjölmiðlalaga, m.a. hvað varðar hámark sekta.</w:t>
      </w:r>
    </w:p>
    <w:p w:rsidR="00601783" w:rsidRDefault="00601783" w:rsidP="00601783"/>
    <w:p w:rsidR="00601783" w:rsidRDefault="00601783" w:rsidP="00601783">
      <w:pPr>
        <w:pStyle w:val="Greinarnmer"/>
      </w:pPr>
      <w:r>
        <w:t>Um 4. gr.</w:t>
      </w:r>
    </w:p>
    <w:p w:rsidR="00601783" w:rsidRPr="00601783" w:rsidRDefault="00601783" w:rsidP="00601783">
      <w:r w:rsidRPr="00601783">
        <w:lastRenderedPageBreak/>
        <w:t>Ákvæði þetta þarfnast ekki skýringa.</w:t>
      </w:r>
    </w:p>
    <w:p w:rsidR="00EB12F6" w:rsidRDefault="00EB12F6" w:rsidP="00943B67"/>
    <w:p w:rsidR="00EB12F6" w:rsidRDefault="00EB12F6" w:rsidP="00943B67"/>
    <w:p w:rsidR="00EB12F6" w:rsidRDefault="00EB12F6" w:rsidP="00943B67">
      <w:bookmarkStart w:id="0" w:name="_GoBack"/>
      <w:bookmarkEnd w:id="0"/>
    </w:p>
    <w:sectPr w:rsidR="00EB12F6" w:rsidSect="00947F0E">
      <w:headerReference w:type="even" r:id="rId9"/>
      <w:headerReference w:type="default" r:id="rId10"/>
      <w:footerReference w:type="even" r:id="rId11"/>
      <w:footerReference w:type="default" r:id="rId12"/>
      <w:headerReference w:type="first" r:id="rId13"/>
      <w:footerReference w:type="first" r:id="rId14"/>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75D" w:rsidRDefault="00D0475D" w:rsidP="006258D7">
      <w:r>
        <w:separator/>
      </w:r>
    </w:p>
  </w:endnote>
  <w:endnote w:type="continuationSeparator" w:id="0">
    <w:p w:rsidR="00D0475D" w:rsidRDefault="00D0475D" w:rsidP="0062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74E" w:rsidRDefault="00A557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74E" w:rsidRDefault="00A557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74E" w:rsidRDefault="00A55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75D" w:rsidRDefault="00D0475D" w:rsidP="005B4CD6">
      <w:pPr>
        <w:ind w:firstLine="0"/>
      </w:pPr>
      <w:r>
        <w:separator/>
      </w:r>
    </w:p>
  </w:footnote>
  <w:footnote w:type="continuationSeparator" w:id="0">
    <w:p w:rsidR="00D0475D" w:rsidRDefault="00D0475D" w:rsidP="00625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74E" w:rsidRDefault="00EE24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299860" o:spid="_x0000_s2050" type="#_x0000_t136" style="position:absolute;left:0;text-align:left;margin-left:0;margin-top:0;width:367.7pt;height:183.85pt;rotation:315;z-index:-251655168;mso-position-horizontal:center;mso-position-horizontal-relative:margin;mso-position-vertical:center;mso-position-vertical-relative:margin" o:allowincell="f" fillcolor="silver" stroked="f">
          <v:fill opacity=".5"/>
          <v:textpath style="font-family:&quot;Times New Roman&quot;;font-size:1pt" string="DRÖ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74E" w:rsidRDefault="00EE242C" w:rsidP="006258D7">
    <w:pPr>
      <w:pStyle w:val="Header"/>
      <w:tabs>
        <w:tab w:val="clear" w:pos="4536"/>
        <w:tab w:val="clear" w:pos="9072"/>
        <w:tab w:val="center" w:pos="3969"/>
        <w:tab w:val="right" w:pos="7797"/>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299861" o:spid="_x0000_s2051" type="#_x0000_t136" style="position:absolute;left:0;text-align:left;margin-left:0;margin-top:0;width:367.7pt;height:183.85pt;rotation:315;z-index:-251653120;mso-position-horizontal:center;mso-position-horizontal-relative:margin;mso-position-vertical:center;mso-position-vertical-relative:margin" o:allowincell="f" fillcolor="silver" stroked="f">
          <v:fill opacity=".5"/>
          <v:textpath style="font-family:&quot;Times New Roman&quot;;font-size:1pt" string="DRÖG"/>
          <w10:wrap anchorx="margin" anchory="margin"/>
        </v:shape>
      </w:pict>
    </w:r>
    <w:r w:rsidR="00A5574E">
      <w:tab/>
    </w:r>
    <w:r w:rsidR="00A5574E">
      <w:fldChar w:fldCharType="begin"/>
    </w:r>
    <w:r w:rsidR="00A5574E">
      <w:instrText>PAGE   \* MERGEFORMAT</w:instrText>
    </w:r>
    <w:r w:rsidR="00A5574E">
      <w:fldChar w:fldCharType="separate"/>
    </w:r>
    <w:r>
      <w:rPr>
        <w:noProof/>
      </w:rPr>
      <w:t>8</w:t>
    </w:r>
    <w:r w:rsidR="00A5574E">
      <w:rPr>
        <w:noProof/>
      </w:rPr>
      <w:fldChar w:fldCharType="end"/>
    </w:r>
    <w:r w:rsidR="00A5574E">
      <w:rPr>
        <w:noProof/>
      </w:rPr>
      <w:tab/>
    </w:r>
    <w:r w:rsidR="00A5574E" w:rsidRPr="00655EE3">
      <w:rPr>
        <w:b/>
        <w:i/>
        <w:color w:val="7F7F7F"/>
        <w:sz w:val="24"/>
        <w:szCs w:val="24"/>
      </w:rPr>
      <w:t>Í vinnslu</w:t>
    </w:r>
    <w:r w:rsidR="00A5574E">
      <w:rPr>
        <w:b/>
        <w:i/>
        <w:color w:val="7F7F7F"/>
        <w:sz w:val="24"/>
        <w:szCs w:val="24"/>
      </w:rPr>
      <w:t xml:space="preserve"> – </w:t>
    </w:r>
    <w:r w:rsidR="00A5574E">
      <w:rPr>
        <w:b/>
        <w:i/>
        <w:color w:val="7F7F7F"/>
        <w:sz w:val="24"/>
        <w:szCs w:val="24"/>
      </w:rPr>
      <w:fldChar w:fldCharType="begin"/>
    </w:r>
    <w:r w:rsidR="00A5574E">
      <w:rPr>
        <w:b/>
        <w:i/>
        <w:color w:val="7F7F7F"/>
        <w:sz w:val="24"/>
        <w:szCs w:val="24"/>
      </w:rPr>
      <w:instrText xml:space="preserve"> TIME \@ "d. MMMM yyyy" </w:instrText>
    </w:r>
    <w:r w:rsidR="00A5574E">
      <w:rPr>
        <w:b/>
        <w:i/>
        <w:color w:val="7F7F7F"/>
        <w:sz w:val="24"/>
        <w:szCs w:val="24"/>
      </w:rPr>
      <w:fldChar w:fldCharType="separate"/>
    </w:r>
    <w:r>
      <w:rPr>
        <w:b/>
        <w:i/>
        <w:noProof/>
        <w:color w:val="7F7F7F"/>
        <w:sz w:val="24"/>
        <w:szCs w:val="24"/>
      </w:rPr>
      <w:t>27. janúar 2017</w:t>
    </w:r>
    <w:r w:rsidR="00A5574E">
      <w:rPr>
        <w:b/>
        <w:i/>
        <w:color w:val="7F7F7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74E" w:rsidRDefault="00EE242C" w:rsidP="00655EE3">
    <w:pPr>
      <w:pStyle w:val="Header"/>
      <w:tabs>
        <w:tab w:val="clear" w:pos="4536"/>
        <w:tab w:val="clear" w:pos="9072"/>
        <w:tab w:val="center" w:pos="3969"/>
        <w:tab w:val="right" w:pos="7797"/>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299859" o:spid="_x0000_s2049" type="#_x0000_t136" style="position:absolute;left:0;text-align:left;margin-left:0;margin-top:0;width:367.7pt;height:183.85pt;rotation:315;z-index:-251657216;mso-position-horizontal:center;mso-position-horizontal-relative:margin;mso-position-vertical:center;mso-position-vertical-relative:margin" o:allowincell="f" fillcolor="silver" stroked="f">
          <v:fill opacity=".5"/>
          <v:textpath style="font-family:&quot;Times New Roman&quot;;font-size:1pt" string="DRÖG"/>
          <w10:wrap anchorx="margin" anchory="margin"/>
        </v:shape>
      </w:pict>
    </w:r>
    <w:r w:rsidR="00A5574E">
      <w:tab/>
    </w:r>
    <w:r w:rsidR="00A5574E">
      <w:tab/>
    </w:r>
    <w:r w:rsidR="00A5574E" w:rsidRPr="00655EE3">
      <w:rPr>
        <w:b/>
        <w:i/>
        <w:color w:val="7F7F7F"/>
        <w:sz w:val="24"/>
        <w:szCs w:val="24"/>
      </w:rPr>
      <w:t>Í vinnslu</w:t>
    </w:r>
    <w:r w:rsidR="00A5574E">
      <w:rPr>
        <w:b/>
        <w:i/>
        <w:color w:val="7F7F7F"/>
        <w:sz w:val="24"/>
        <w:szCs w:val="24"/>
      </w:rPr>
      <w:t xml:space="preserve"> – </w:t>
    </w:r>
    <w:r w:rsidR="00A5574E">
      <w:rPr>
        <w:b/>
        <w:i/>
        <w:color w:val="7F7F7F"/>
        <w:sz w:val="24"/>
        <w:szCs w:val="24"/>
      </w:rPr>
      <w:fldChar w:fldCharType="begin"/>
    </w:r>
    <w:r w:rsidR="00A5574E">
      <w:rPr>
        <w:b/>
        <w:i/>
        <w:color w:val="7F7F7F"/>
        <w:sz w:val="24"/>
        <w:szCs w:val="24"/>
      </w:rPr>
      <w:instrText xml:space="preserve"> TIME \@ "d. MMMM yyyy" </w:instrText>
    </w:r>
    <w:r w:rsidR="00A5574E">
      <w:rPr>
        <w:b/>
        <w:i/>
        <w:color w:val="7F7F7F"/>
        <w:sz w:val="24"/>
        <w:szCs w:val="24"/>
      </w:rPr>
      <w:fldChar w:fldCharType="separate"/>
    </w:r>
    <w:r>
      <w:rPr>
        <w:b/>
        <w:i/>
        <w:noProof/>
        <w:color w:val="7F7F7F"/>
        <w:sz w:val="24"/>
        <w:szCs w:val="24"/>
      </w:rPr>
      <w:t>27. janúar 2017</w:t>
    </w:r>
    <w:r w:rsidR="00A5574E">
      <w:rPr>
        <w:b/>
        <w:i/>
        <w:color w:val="7F7F7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1">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2">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3">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4">
    <w:nsid w:val="3B3777B6"/>
    <w:multiLevelType w:val="hybridMultilevel"/>
    <w:tmpl w:val="A68AA610"/>
    <w:lvl w:ilvl="0" w:tplc="E91EA7D8">
      <w:start w:val="1"/>
      <w:numFmt w:val="bullet"/>
      <w:lvlText w:val="-"/>
      <w:lvlJc w:val="left"/>
      <w:pPr>
        <w:ind w:left="709" w:hanging="360"/>
      </w:pPr>
      <w:rPr>
        <w:rFonts w:ascii="Times New Roman" w:hAnsi="Times New Roman" w:hint="default"/>
      </w:rPr>
    </w:lvl>
    <w:lvl w:ilvl="1" w:tplc="040F0003" w:tentative="1">
      <w:start w:val="1"/>
      <w:numFmt w:val="bullet"/>
      <w:lvlText w:val="o"/>
      <w:lvlJc w:val="left"/>
      <w:pPr>
        <w:ind w:left="1429" w:hanging="360"/>
      </w:pPr>
      <w:rPr>
        <w:rFonts w:ascii="Courier New" w:hAnsi="Courier New" w:cs="Courier New" w:hint="default"/>
      </w:rPr>
    </w:lvl>
    <w:lvl w:ilvl="2" w:tplc="040F0005" w:tentative="1">
      <w:start w:val="1"/>
      <w:numFmt w:val="bullet"/>
      <w:lvlText w:val=""/>
      <w:lvlJc w:val="left"/>
      <w:pPr>
        <w:ind w:left="2149" w:hanging="360"/>
      </w:pPr>
      <w:rPr>
        <w:rFonts w:ascii="Wingdings" w:hAnsi="Wingdings" w:hint="default"/>
      </w:rPr>
    </w:lvl>
    <w:lvl w:ilvl="3" w:tplc="040F0001" w:tentative="1">
      <w:start w:val="1"/>
      <w:numFmt w:val="bullet"/>
      <w:lvlText w:val=""/>
      <w:lvlJc w:val="left"/>
      <w:pPr>
        <w:ind w:left="2869" w:hanging="360"/>
      </w:pPr>
      <w:rPr>
        <w:rFonts w:ascii="Symbol" w:hAnsi="Symbol" w:hint="default"/>
      </w:rPr>
    </w:lvl>
    <w:lvl w:ilvl="4" w:tplc="040F0003" w:tentative="1">
      <w:start w:val="1"/>
      <w:numFmt w:val="bullet"/>
      <w:lvlText w:val="o"/>
      <w:lvlJc w:val="left"/>
      <w:pPr>
        <w:ind w:left="3589" w:hanging="360"/>
      </w:pPr>
      <w:rPr>
        <w:rFonts w:ascii="Courier New" w:hAnsi="Courier New" w:cs="Courier New" w:hint="default"/>
      </w:rPr>
    </w:lvl>
    <w:lvl w:ilvl="5" w:tplc="040F0005" w:tentative="1">
      <w:start w:val="1"/>
      <w:numFmt w:val="bullet"/>
      <w:lvlText w:val=""/>
      <w:lvlJc w:val="left"/>
      <w:pPr>
        <w:ind w:left="4309" w:hanging="360"/>
      </w:pPr>
      <w:rPr>
        <w:rFonts w:ascii="Wingdings" w:hAnsi="Wingdings" w:hint="default"/>
      </w:rPr>
    </w:lvl>
    <w:lvl w:ilvl="6" w:tplc="040F0001" w:tentative="1">
      <w:start w:val="1"/>
      <w:numFmt w:val="bullet"/>
      <w:lvlText w:val=""/>
      <w:lvlJc w:val="left"/>
      <w:pPr>
        <w:ind w:left="5029" w:hanging="360"/>
      </w:pPr>
      <w:rPr>
        <w:rFonts w:ascii="Symbol" w:hAnsi="Symbol" w:hint="default"/>
      </w:rPr>
    </w:lvl>
    <w:lvl w:ilvl="7" w:tplc="040F0003" w:tentative="1">
      <w:start w:val="1"/>
      <w:numFmt w:val="bullet"/>
      <w:lvlText w:val="o"/>
      <w:lvlJc w:val="left"/>
      <w:pPr>
        <w:ind w:left="5749" w:hanging="360"/>
      </w:pPr>
      <w:rPr>
        <w:rFonts w:ascii="Courier New" w:hAnsi="Courier New" w:cs="Courier New" w:hint="default"/>
      </w:rPr>
    </w:lvl>
    <w:lvl w:ilvl="8" w:tplc="040F0005" w:tentative="1">
      <w:start w:val="1"/>
      <w:numFmt w:val="bullet"/>
      <w:lvlText w:val=""/>
      <w:lvlJc w:val="left"/>
      <w:pPr>
        <w:ind w:left="6469" w:hanging="360"/>
      </w:pPr>
      <w:rPr>
        <w:rFonts w:ascii="Wingdings" w:hAnsi="Wingdings" w:hint="default"/>
      </w:rPr>
    </w:lvl>
  </w:abstractNum>
  <w:abstractNum w:abstractNumId="5">
    <w:nsid w:val="3B480B4E"/>
    <w:multiLevelType w:val="multilevel"/>
    <w:tmpl w:val="6DEC8882"/>
    <w:numStyleLink w:val="Althingi---"/>
  </w:abstractNum>
  <w:abstractNum w:abstractNumId="6">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7">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8">
    <w:nsid w:val="4FF35071"/>
    <w:multiLevelType w:val="multilevel"/>
    <w:tmpl w:val="83C6DAE2"/>
    <w:numStyleLink w:val="Althingi"/>
  </w:abstractNum>
  <w:abstractNum w:abstractNumId="9">
    <w:nsid w:val="637F5AA3"/>
    <w:multiLevelType w:val="hybridMultilevel"/>
    <w:tmpl w:val="0CB000F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11">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12">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13">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13"/>
  </w:num>
  <w:num w:numId="2">
    <w:abstractNumId w:val="10"/>
  </w:num>
  <w:num w:numId="3">
    <w:abstractNumId w:val="12"/>
  </w:num>
  <w:num w:numId="4">
    <w:abstractNumId w:val="1"/>
  </w:num>
  <w:num w:numId="5">
    <w:abstractNumId w:val="7"/>
  </w:num>
  <w:num w:numId="6">
    <w:abstractNumId w:val="11"/>
  </w:num>
  <w:num w:numId="7">
    <w:abstractNumId w:val="2"/>
  </w:num>
  <w:num w:numId="8">
    <w:abstractNumId w:val="0"/>
  </w:num>
  <w:num w:numId="9">
    <w:abstractNumId w:val="6"/>
  </w:num>
  <w:num w:numId="10">
    <w:abstractNumId w:val="3"/>
  </w:num>
  <w:num w:numId="11">
    <w:abstractNumId w:val="5"/>
  </w:num>
  <w:num w:numId="12">
    <w:abstractNumId w:val="8"/>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DateAndTime/>
  <w:trackRevisions/>
  <w:defaultTabStop w:val="28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74"/>
    <w:rsid w:val="000145B6"/>
    <w:rsid w:val="000300CD"/>
    <w:rsid w:val="00030C42"/>
    <w:rsid w:val="0004582A"/>
    <w:rsid w:val="00055B22"/>
    <w:rsid w:val="000A7848"/>
    <w:rsid w:val="000D40D8"/>
    <w:rsid w:val="000D7B8C"/>
    <w:rsid w:val="000E16E7"/>
    <w:rsid w:val="000F46B1"/>
    <w:rsid w:val="00104C98"/>
    <w:rsid w:val="00117680"/>
    <w:rsid w:val="001222CE"/>
    <w:rsid w:val="00122EE4"/>
    <w:rsid w:val="00132E7E"/>
    <w:rsid w:val="001371CD"/>
    <w:rsid w:val="0015772E"/>
    <w:rsid w:val="00181038"/>
    <w:rsid w:val="001A616C"/>
    <w:rsid w:val="0022006D"/>
    <w:rsid w:val="002224E3"/>
    <w:rsid w:val="00260FE0"/>
    <w:rsid w:val="00270A34"/>
    <w:rsid w:val="00293FEE"/>
    <w:rsid w:val="00296D4E"/>
    <w:rsid w:val="002B3385"/>
    <w:rsid w:val="002D034E"/>
    <w:rsid w:val="002D0871"/>
    <w:rsid w:val="002D340A"/>
    <w:rsid w:val="002E7193"/>
    <w:rsid w:val="002F3AFA"/>
    <w:rsid w:val="00322EDA"/>
    <w:rsid w:val="00322F35"/>
    <w:rsid w:val="00335852"/>
    <w:rsid w:val="00381ECF"/>
    <w:rsid w:val="003917F4"/>
    <w:rsid w:val="003B68AB"/>
    <w:rsid w:val="003F5B37"/>
    <w:rsid w:val="00436458"/>
    <w:rsid w:val="0048070A"/>
    <w:rsid w:val="0049606B"/>
    <w:rsid w:val="004B3D9B"/>
    <w:rsid w:val="004C4D11"/>
    <w:rsid w:val="004C568E"/>
    <w:rsid w:val="004C6850"/>
    <w:rsid w:val="004F37F2"/>
    <w:rsid w:val="004F70B4"/>
    <w:rsid w:val="0050458D"/>
    <w:rsid w:val="00507601"/>
    <w:rsid w:val="00524F35"/>
    <w:rsid w:val="005375B7"/>
    <w:rsid w:val="00564348"/>
    <w:rsid w:val="0057228A"/>
    <w:rsid w:val="005B4CD6"/>
    <w:rsid w:val="005D7863"/>
    <w:rsid w:val="005F4087"/>
    <w:rsid w:val="00601783"/>
    <w:rsid w:val="006258D7"/>
    <w:rsid w:val="00652C9A"/>
    <w:rsid w:val="00655AEA"/>
    <w:rsid w:val="00655EE3"/>
    <w:rsid w:val="0066420A"/>
    <w:rsid w:val="00671549"/>
    <w:rsid w:val="006B6B37"/>
    <w:rsid w:val="006F069F"/>
    <w:rsid w:val="006F4043"/>
    <w:rsid w:val="006F4D1E"/>
    <w:rsid w:val="006F74FF"/>
    <w:rsid w:val="00706572"/>
    <w:rsid w:val="00707D37"/>
    <w:rsid w:val="007176DC"/>
    <w:rsid w:val="00724F28"/>
    <w:rsid w:val="007431CA"/>
    <w:rsid w:val="00750B2A"/>
    <w:rsid w:val="007555E3"/>
    <w:rsid w:val="007A08F8"/>
    <w:rsid w:val="007A5DDC"/>
    <w:rsid w:val="007D4338"/>
    <w:rsid w:val="007D7168"/>
    <w:rsid w:val="00852033"/>
    <w:rsid w:val="00852FF3"/>
    <w:rsid w:val="00853F49"/>
    <w:rsid w:val="008577B7"/>
    <w:rsid w:val="00895423"/>
    <w:rsid w:val="008D0068"/>
    <w:rsid w:val="00901F39"/>
    <w:rsid w:val="00943B67"/>
    <w:rsid w:val="00947F0E"/>
    <w:rsid w:val="00995085"/>
    <w:rsid w:val="00997991"/>
    <w:rsid w:val="009F44A8"/>
    <w:rsid w:val="00A10AE9"/>
    <w:rsid w:val="00A2280D"/>
    <w:rsid w:val="00A24367"/>
    <w:rsid w:val="00A366EA"/>
    <w:rsid w:val="00A425DE"/>
    <w:rsid w:val="00A5574E"/>
    <w:rsid w:val="00A62127"/>
    <w:rsid w:val="00A74357"/>
    <w:rsid w:val="00A84C9D"/>
    <w:rsid w:val="00A90212"/>
    <w:rsid w:val="00AB4DB6"/>
    <w:rsid w:val="00AC7C2A"/>
    <w:rsid w:val="00AD0879"/>
    <w:rsid w:val="00AE2225"/>
    <w:rsid w:val="00AF581E"/>
    <w:rsid w:val="00B203DC"/>
    <w:rsid w:val="00B56947"/>
    <w:rsid w:val="00BC3809"/>
    <w:rsid w:val="00BD4D3F"/>
    <w:rsid w:val="00BD697D"/>
    <w:rsid w:val="00BF2C1E"/>
    <w:rsid w:val="00BF3D23"/>
    <w:rsid w:val="00C34A72"/>
    <w:rsid w:val="00C350BA"/>
    <w:rsid w:val="00C35574"/>
    <w:rsid w:val="00C36086"/>
    <w:rsid w:val="00C435BC"/>
    <w:rsid w:val="00CA31D0"/>
    <w:rsid w:val="00CC7ED2"/>
    <w:rsid w:val="00CD54BE"/>
    <w:rsid w:val="00D0475D"/>
    <w:rsid w:val="00D0740D"/>
    <w:rsid w:val="00D205B5"/>
    <w:rsid w:val="00D25E73"/>
    <w:rsid w:val="00D337AE"/>
    <w:rsid w:val="00D45F78"/>
    <w:rsid w:val="00D512A4"/>
    <w:rsid w:val="00D5679C"/>
    <w:rsid w:val="00DD303D"/>
    <w:rsid w:val="00DF500B"/>
    <w:rsid w:val="00E11B67"/>
    <w:rsid w:val="00E255CC"/>
    <w:rsid w:val="00E45CB1"/>
    <w:rsid w:val="00E61D77"/>
    <w:rsid w:val="00EA4BBC"/>
    <w:rsid w:val="00EB12F6"/>
    <w:rsid w:val="00EB3C39"/>
    <w:rsid w:val="00ED1890"/>
    <w:rsid w:val="00EE242C"/>
    <w:rsid w:val="00EF776B"/>
    <w:rsid w:val="00F54C9A"/>
    <w:rsid w:val="00F6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7D4338"/>
    <w:pPr>
      <w:ind w:firstLine="284"/>
      <w:jc w:val="both"/>
    </w:pPr>
    <w:rPr>
      <w:rFonts w:ascii="Times New Roman" w:hAnsi="Times New Roman"/>
      <w:sz w:val="21"/>
      <w:szCs w:val="22"/>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ija">
    <w:name w:val="Normal/miðjað"/>
    <w:basedOn w:val="Normal"/>
    <w:qFormat/>
    <w:rsid w:val="007A08F8"/>
    <w:pPr>
      <w:ind w:firstLine="0"/>
      <w:jc w:val="center"/>
    </w:pPr>
  </w:style>
  <w:style w:type="paragraph" w:styleId="NoSpacing">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Normal"/>
    <w:next w:val="Normal"/>
    <w:qFormat/>
    <w:rsid w:val="007A08F8"/>
    <w:pPr>
      <w:pBdr>
        <w:bottom w:val="single" w:sz="4" w:space="1" w:color="auto"/>
      </w:pBdr>
      <w:spacing w:before="120"/>
      <w:ind w:left="3402" w:right="3402" w:firstLine="0"/>
    </w:pPr>
  </w:style>
  <w:style w:type="paragraph" w:customStyle="1" w:styleId="Millifyrirsgn2">
    <w:name w:val="Millifyrirsögn 2"/>
    <w:basedOn w:val="Normal"/>
    <w:next w:val="Normal"/>
    <w:qFormat/>
    <w:rsid w:val="00117680"/>
    <w:pPr>
      <w:ind w:firstLine="0"/>
    </w:pPr>
    <w:rPr>
      <w:i/>
    </w:rPr>
  </w:style>
  <w:style w:type="paragraph" w:customStyle="1" w:styleId="Millifyrirsgn1">
    <w:name w:val="Millifyrirsögn 1"/>
    <w:basedOn w:val="Normal"/>
    <w:next w:val="Normal"/>
    <w:qFormat/>
    <w:rsid w:val="00117680"/>
    <w:pPr>
      <w:ind w:firstLine="0"/>
    </w:pPr>
    <w:rPr>
      <w:b/>
    </w:rPr>
  </w:style>
  <w:style w:type="paragraph" w:customStyle="1" w:styleId="Fyrirsgn-fylgiskjl">
    <w:name w:val="Fyrirsögn - fylgiskjöl"/>
    <w:basedOn w:val="Normal"/>
    <w:next w:val="Normal"/>
    <w:qFormat/>
    <w:rsid w:val="00322F35"/>
    <w:pPr>
      <w:ind w:firstLine="0"/>
      <w:jc w:val="left"/>
    </w:pPr>
    <w:rPr>
      <w:b/>
      <w:u w:val="single"/>
    </w:rPr>
  </w:style>
  <w:style w:type="paragraph" w:customStyle="1" w:styleId="Fyrirsgn-athugasemdir">
    <w:name w:val="Fyrirsögn - athugasemdir"/>
    <w:basedOn w:val="Normal"/>
    <w:next w:val="Normal"/>
    <w:qFormat/>
    <w:rsid w:val="00C35574"/>
    <w:pPr>
      <w:ind w:firstLine="0"/>
      <w:jc w:val="center"/>
    </w:pPr>
    <w:rPr>
      <w:spacing w:val="44"/>
    </w:rPr>
  </w:style>
  <w:style w:type="paragraph" w:customStyle="1" w:styleId="Fyrirsgn-skjalategund">
    <w:name w:val="Fyrirsögn - skjalategund"/>
    <w:basedOn w:val="Normal"/>
    <w:next w:val="Normal"/>
    <w:qFormat/>
    <w:rsid w:val="007A08F8"/>
    <w:pPr>
      <w:spacing w:before="720" w:after="360"/>
      <w:ind w:firstLine="0"/>
      <w:jc w:val="center"/>
    </w:pPr>
    <w:rPr>
      <w:b/>
      <w:sz w:val="38"/>
    </w:rPr>
  </w:style>
  <w:style w:type="paragraph" w:customStyle="1" w:styleId="Fyrirsgn-undirfyrirsgn">
    <w:name w:val="Fyrirsögn - undirfyrirsögn"/>
    <w:basedOn w:val="Normal"/>
    <w:next w:val="Normal"/>
    <w:qFormat/>
    <w:rsid w:val="007A08F8"/>
    <w:pPr>
      <w:ind w:firstLine="0"/>
      <w:jc w:val="center"/>
    </w:pPr>
    <w:rPr>
      <w:b/>
      <w:sz w:val="24"/>
    </w:rPr>
  </w:style>
  <w:style w:type="paragraph" w:styleId="Header">
    <w:name w:val="header"/>
    <w:basedOn w:val="Normal"/>
    <w:link w:val="HeaderChar"/>
    <w:uiPriority w:val="99"/>
    <w:unhideWhenUsed/>
    <w:rsid w:val="006258D7"/>
    <w:pPr>
      <w:tabs>
        <w:tab w:val="center" w:pos="4536"/>
        <w:tab w:val="right" w:pos="9072"/>
      </w:tabs>
    </w:pPr>
  </w:style>
  <w:style w:type="paragraph" w:customStyle="1" w:styleId="Greinarnmer">
    <w:name w:val="Greinarnúmer"/>
    <w:basedOn w:val="Normal"/>
    <w:next w:val="Normal"/>
    <w:qFormat/>
    <w:rsid w:val="00895423"/>
    <w:pPr>
      <w:ind w:firstLine="0"/>
      <w:jc w:val="center"/>
    </w:pPr>
  </w:style>
  <w:style w:type="paragraph" w:customStyle="1" w:styleId="Greinarfyrirsgn">
    <w:name w:val="Greinarfyrirsögn"/>
    <w:basedOn w:val="Normal"/>
    <w:next w:val="Normal"/>
    <w:qFormat/>
    <w:rsid w:val="00895423"/>
    <w:pPr>
      <w:ind w:firstLine="0"/>
      <w:jc w:val="center"/>
    </w:pPr>
    <w:rPr>
      <w:i/>
    </w:rPr>
  </w:style>
  <w:style w:type="paragraph" w:customStyle="1" w:styleId="Kaflafyrirsgn">
    <w:name w:val="Kaflafyrirsögn"/>
    <w:basedOn w:val="Normal"/>
    <w:next w:val="Normal"/>
    <w:qFormat/>
    <w:rsid w:val="00895423"/>
    <w:pPr>
      <w:ind w:firstLine="0"/>
      <w:jc w:val="center"/>
    </w:pPr>
    <w:rPr>
      <w:b/>
    </w:rPr>
  </w:style>
  <w:style w:type="paragraph" w:customStyle="1" w:styleId="Kaflanmer">
    <w:name w:val="Kaflanúmer"/>
    <w:basedOn w:val="Normal"/>
    <w:next w:val="Normal"/>
    <w:qFormat/>
    <w:rsid w:val="00895423"/>
    <w:pPr>
      <w:ind w:firstLine="0"/>
      <w:jc w:val="center"/>
    </w:pPr>
    <w:rPr>
      <w:caps/>
    </w:rPr>
  </w:style>
  <w:style w:type="character" w:customStyle="1" w:styleId="HeaderChar">
    <w:name w:val="Header Char"/>
    <w:link w:val="Header"/>
    <w:uiPriority w:val="99"/>
    <w:rsid w:val="006258D7"/>
    <w:rPr>
      <w:rFonts w:ascii="Times New Roman" w:hAnsi="Times New Roman"/>
      <w:sz w:val="21"/>
      <w:szCs w:val="22"/>
      <w:lang w:eastAsia="en-US"/>
    </w:rPr>
  </w:style>
  <w:style w:type="paragraph" w:styleId="Footer">
    <w:name w:val="footer"/>
    <w:basedOn w:val="Normal"/>
    <w:link w:val="FooterChar"/>
    <w:uiPriority w:val="99"/>
    <w:unhideWhenUsed/>
    <w:rsid w:val="006258D7"/>
    <w:pPr>
      <w:tabs>
        <w:tab w:val="center" w:pos="4536"/>
        <w:tab w:val="right" w:pos="9072"/>
      </w:tabs>
    </w:pPr>
  </w:style>
  <w:style w:type="character" w:customStyle="1" w:styleId="FooterChar">
    <w:name w:val="Footer Char"/>
    <w:link w:val="Footer"/>
    <w:uiPriority w:val="99"/>
    <w:rsid w:val="006258D7"/>
    <w:rPr>
      <w:rFonts w:ascii="Times New Roman" w:hAnsi="Times New Roman"/>
      <w:sz w:val="21"/>
      <w:szCs w:val="22"/>
      <w:lang w:eastAsia="en-US"/>
    </w:rPr>
  </w:style>
  <w:style w:type="character" w:styleId="Hyperlink">
    <w:name w:val="Hyperlink"/>
    <w:basedOn w:val="DefaultParagraphFont"/>
    <w:uiPriority w:val="99"/>
    <w:unhideWhenUsed/>
    <w:rsid w:val="00D512A4"/>
  </w:style>
  <w:style w:type="paragraph" w:styleId="FootnoteText">
    <w:name w:val="footnote text"/>
    <w:basedOn w:val="Normal"/>
    <w:link w:val="FootnoteTextChar"/>
    <w:uiPriority w:val="99"/>
    <w:semiHidden/>
    <w:unhideWhenUsed/>
    <w:rsid w:val="005B4CD6"/>
    <w:pPr>
      <w:ind w:left="284" w:hanging="284"/>
    </w:pPr>
    <w:rPr>
      <w:sz w:val="18"/>
      <w:szCs w:val="20"/>
    </w:rPr>
  </w:style>
  <w:style w:type="character" w:customStyle="1" w:styleId="FootnoteTextChar">
    <w:name w:val="Footnote Text Char"/>
    <w:link w:val="FootnoteText"/>
    <w:uiPriority w:val="99"/>
    <w:semiHidden/>
    <w:rsid w:val="005B4CD6"/>
    <w:rPr>
      <w:rFonts w:ascii="Times New Roman" w:hAnsi="Times New Roman"/>
      <w:sz w:val="18"/>
      <w:lang w:eastAsia="en-US"/>
    </w:rPr>
  </w:style>
  <w:style w:type="character" w:styleId="FootnoteReference">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Normal"/>
    <w:next w:val="Normal"/>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AE2225"/>
    <w:pPr>
      <w:spacing w:after="160" w:line="259" w:lineRule="auto"/>
      <w:ind w:left="720" w:firstLine="0"/>
      <w:contextualSpacing/>
      <w:jc w:val="left"/>
    </w:pPr>
    <w:rPr>
      <w:rFonts w:asciiTheme="minorHAnsi" w:eastAsiaTheme="minorHAnsi" w:hAnsiTheme="minorHAnsi" w:cstheme="minorBidi"/>
      <w:sz w:val="22"/>
    </w:rPr>
  </w:style>
  <w:style w:type="paragraph" w:styleId="BalloonText">
    <w:name w:val="Balloon Text"/>
    <w:basedOn w:val="Normal"/>
    <w:link w:val="BalloonTextChar"/>
    <w:uiPriority w:val="99"/>
    <w:semiHidden/>
    <w:unhideWhenUsed/>
    <w:rsid w:val="00296D4E"/>
    <w:rPr>
      <w:rFonts w:ascii="Tahoma" w:hAnsi="Tahoma" w:cs="Tahoma"/>
      <w:sz w:val="16"/>
      <w:szCs w:val="16"/>
    </w:rPr>
  </w:style>
  <w:style w:type="character" w:customStyle="1" w:styleId="BalloonTextChar">
    <w:name w:val="Balloon Text Char"/>
    <w:basedOn w:val="DefaultParagraphFont"/>
    <w:link w:val="BalloonText"/>
    <w:uiPriority w:val="99"/>
    <w:semiHidden/>
    <w:rsid w:val="00296D4E"/>
    <w:rPr>
      <w:rFonts w:ascii="Tahoma" w:hAnsi="Tahoma" w:cs="Tahoma"/>
      <w:sz w:val="16"/>
      <w:szCs w:val="16"/>
      <w:lang w:val="is-IS"/>
    </w:rPr>
  </w:style>
  <w:style w:type="character" w:styleId="CommentReference">
    <w:name w:val="annotation reference"/>
    <w:basedOn w:val="DefaultParagraphFont"/>
    <w:uiPriority w:val="99"/>
    <w:semiHidden/>
    <w:unhideWhenUsed/>
    <w:rsid w:val="00DF500B"/>
    <w:rPr>
      <w:sz w:val="16"/>
      <w:szCs w:val="16"/>
    </w:rPr>
  </w:style>
  <w:style w:type="paragraph" w:styleId="CommentText">
    <w:name w:val="annotation text"/>
    <w:basedOn w:val="Normal"/>
    <w:link w:val="CommentTextChar"/>
    <w:uiPriority w:val="99"/>
    <w:semiHidden/>
    <w:unhideWhenUsed/>
    <w:rsid w:val="00DF500B"/>
    <w:rPr>
      <w:sz w:val="20"/>
      <w:szCs w:val="20"/>
    </w:rPr>
  </w:style>
  <w:style w:type="character" w:customStyle="1" w:styleId="CommentTextChar">
    <w:name w:val="Comment Text Char"/>
    <w:basedOn w:val="DefaultParagraphFont"/>
    <w:link w:val="CommentText"/>
    <w:uiPriority w:val="99"/>
    <w:semiHidden/>
    <w:rsid w:val="00DF500B"/>
    <w:rPr>
      <w:rFonts w:ascii="Times New Roman" w:hAnsi="Times New Roman"/>
      <w:lang w:val="is-IS"/>
    </w:rPr>
  </w:style>
  <w:style w:type="paragraph" w:styleId="CommentSubject">
    <w:name w:val="annotation subject"/>
    <w:basedOn w:val="CommentText"/>
    <w:next w:val="CommentText"/>
    <w:link w:val="CommentSubjectChar"/>
    <w:uiPriority w:val="99"/>
    <w:semiHidden/>
    <w:unhideWhenUsed/>
    <w:rsid w:val="00DF500B"/>
    <w:rPr>
      <w:b/>
      <w:bCs/>
    </w:rPr>
  </w:style>
  <w:style w:type="character" w:customStyle="1" w:styleId="CommentSubjectChar">
    <w:name w:val="Comment Subject Char"/>
    <w:basedOn w:val="CommentTextChar"/>
    <w:link w:val="CommentSubject"/>
    <w:uiPriority w:val="99"/>
    <w:semiHidden/>
    <w:rsid w:val="00DF500B"/>
    <w:rPr>
      <w:rFonts w:ascii="Times New Roman" w:hAnsi="Times New Roman"/>
      <w:b/>
      <w:bCs/>
      <w:lang w:val="is-I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7D4338"/>
    <w:pPr>
      <w:ind w:firstLine="284"/>
      <w:jc w:val="both"/>
    </w:pPr>
    <w:rPr>
      <w:rFonts w:ascii="Times New Roman" w:hAnsi="Times New Roman"/>
      <w:sz w:val="21"/>
      <w:szCs w:val="22"/>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ija">
    <w:name w:val="Normal/miðjað"/>
    <w:basedOn w:val="Normal"/>
    <w:qFormat/>
    <w:rsid w:val="007A08F8"/>
    <w:pPr>
      <w:ind w:firstLine="0"/>
      <w:jc w:val="center"/>
    </w:pPr>
  </w:style>
  <w:style w:type="paragraph" w:styleId="NoSpacing">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Normal"/>
    <w:next w:val="Normal"/>
    <w:qFormat/>
    <w:rsid w:val="007A08F8"/>
    <w:pPr>
      <w:pBdr>
        <w:bottom w:val="single" w:sz="4" w:space="1" w:color="auto"/>
      </w:pBdr>
      <w:spacing w:before="120"/>
      <w:ind w:left="3402" w:right="3402" w:firstLine="0"/>
    </w:pPr>
  </w:style>
  <w:style w:type="paragraph" w:customStyle="1" w:styleId="Millifyrirsgn2">
    <w:name w:val="Millifyrirsögn 2"/>
    <w:basedOn w:val="Normal"/>
    <w:next w:val="Normal"/>
    <w:qFormat/>
    <w:rsid w:val="00117680"/>
    <w:pPr>
      <w:ind w:firstLine="0"/>
    </w:pPr>
    <w:rPr>
      <w:i/>
    </w:rPr>
  </w:style>
  <w:style w:type="paragraph" w:customStyle="1" w:styleId="Millifyrirsgn1">
    <w:name w:val="Millifyrirsögn 1"/>
    <w:basedOn w:val="Normal"/>
    <w:next w:val="Normal"/>
    <w:qFormat/>
    <w:rsid w:val="00117680"/>
    <w:pPr>
      <w:ind w:firstLine="0"/>
    </w:pPr>
    <w:rPr>
      <w:b/>
    </w:rPr>
  </w:style>
  <w:style w:type="paragraph" w:customStyle="1" w:styleId="Fyrirsgn-fylgiskjl">
    <w:name w:val="Fyrirsögn - fylgiskjöl"/>
    <w:basedOn w:val="Normal"/>
    <w:next w:val="Normal"/>
    <w:qFormat/>
    <w:rsid w:val="00322F35"/>
    <w:pPr>
      <w:ind w:firstLine="0"/>
      <w:jc w:val="left"/>
    </w:pPr>
    <w:rPr>
      <w:b/>
      <w:u w:val="single"/>
    </w:rPr>
  </w:style>
  <w:style w:type="paragraph" w:customStyle="1" w:styleId="Fyrirsgn-athugasemdir">
    <w:name w:val="Fyrirsögn - athugasemdir"/>
    <w:basedOn w:val="Normal"/>
    <w:next w:val="Normal"/>
    <w:qFormat/>
    <w:rsid w:val="00C35574"/>
    <w:pPr>
      <w:ind w:firstLine="0"/>
      <w:jc w:val="center"/>
    </w:pPr>
    <w:rPr>
      <w:spacing w:val="44"/>
    </w:rPr>
  </w:style>
  <w:style w:type="paragraph" w:customStyle="1" w:styleId="Fyrirsgn-skjalategund">
    <w:name w:val="Fyrirsögn - skjalategund"/>
    <w:basedOn w:val="Normal"/>
    <w:next w:val="Normal"/>
    <w:qFormat/>
    <w:rsid w:val="007A08F8"/>
    <w:pPr>
      <w:spacing w:before="720" w:after="360"/>
      <w:ind w:firstLine="0"/>
      <w:jc w:val="center"/>
    </w:pPr>
    <w:rPr>
      <w:b/>
      <w:sz w:val="38"/>
    </w:rPr>
  </w:style>
  <w:style w:type="paragraph" w:customStyle="1" w:styleId="Fyrirsgn-undirfyrirsgn">
    <w:name w:val="Fyrirsögn - undirfyrirsögn"/>
    <w:basedOn w:val="Normal"/>
    <w:next w:val="Normal"/>
    <w:qFormat/>
    <w:rsid w:val="007A08F8"/>
    <w:pPr>
      <w:ind w:firstLine="0"/>
      <w:jc w:val="center"/>
    </w:pPr>
    <w:rPr>
      <w:b/>
      <w:sz w:val="24"/>
    </w:rPr>
  </w:style>
  <w:style w:type="paragraph" w:styleId="Header">
    <w:name w:val="header"/>
    <w:basedOn w:val="Normal"/>
    <w:link w:val="HeaderChar"/>
    <w:uiPriority w:val="99"/>
    <w:unhideWhenUsed/>
    <w:rsid w:val="006258D7"/>
    <w:pPr>
      <w:tabs>
        <w:tab w:val="center" w:pos="4536"/>
        <w:tab w:val="right" w:pos="9072"/>
      </w:tabs>
    </w:pPr>
  </w:style>
  <w:style w:type="paragraph" w:customStyle="1" w:styleId="Greinarnmer">
    <w:name w:val="Greinarnúmer"/>
    <w:basedOn w:val="Normal"/>
    <w:next w:val="Normal"/>
    <w:qFormat/>
    <w:rsid w:val="00895423"/>
    <w:pPr>
      <w:ind w:firstLine="0"/>
      <w:jc w:val="center"/>
    </w:pPr>
  </w:style>
  <w:style w:type="paragraph" w:customStyle="1" w:styleId="Greinarfyrirsgn">
    <w:name w:val="Greinarfyrirsögn"/>
    <w:basedOn w:val="Normal"/>
    <w:next w:val="Normal"/>
    <w:qFormat/>
    <w:rsid w:val="00895423"/>
    <w:pPr>
      <w:ind w:firstLine="0"/>
      <w:jc w:val="center"/>
    </w:pPr>
    <w:rPr>
      <w:i/>
    </w:rPr>
  </w:style>
  <w:style w:type="paragraph" w:customStyle="1" w:styleId="Kaflafyrirsgn">
    <w:name w:val="Kaflafyrirsögn"/>
    <w:basedOn w:val="Normal"/>
    <w:next w:val="Normal"/>
    <w:qFormat/>
    <w:rsid w:val="00895423"/>
    <w:pPr>
      <w:ind w:firstLine="0"/>
      <w:jc w:val="center"/>
    </w:pPr>
    <w:rPr>
      <w:b/>
    </w:rPr>
  </w:style>
  <w:style w:type="paragraph" w:customStyle="1" w:styleId="Kaflanmer">
    <w:name w:val="Kaflanúmer"/>
    <w:basedOn w:val="Normal"/>
    <w:next w:val="Normal"/>
    <w:qFormat/>
    <w:rsid w:val="00895423"/>
    <w:pPr>
      <w:ind w:firstLine="0"/>
      <w:jc w:val="center"/>
    </w:pPr>
    <w:rPr>
      <w:caps/>
    </w:rPr>
  </w:style>
  <w:style w:type="character" w:customStyle="1" w:styleId="HeaderChar">
    <w:name w:val="Header Char"/>
    <w:link w:val="Header"/>
    <w:uiPriority w:val="99"/>
    <w:rsid w:val="006258D7"/>
    <w:rPr>
      <w:rFonts w:ascii="Times New Roman" w:hAnsi="Times New Roman"/>
      <w:sz w:val="21"/>
      <w:szCs w:val="22"/>
      <w:lang w:eastAsia="en-US"/>
    </w:rPr>
  </w:style>
  <w:style w:type="paragraph" w:styleId="Footer">
    <w:name w:val="footer"/>
    <w:basedOn w:val="Normal"/>
    <w:link w:val="FooterChar"/>
    <w:uiPriority w:val="99"/>
    <w:unhideWhenUsed/>
    <w:rsid w:val="006258D7"/>
    <w:pPr>
      <w:tabs>
        <w:tab w:val="center" w:pos="4536"/>
        <w:tab w:val="right" w:pos="9072"/>
      </w:tabs>
    </w:pPr>
  </w:style>
  <w:style w:type="character" w:customStyle="1" w:styleId="FooterChar">
    <w:name w:val="Footer Char"/>
    <w:link w:val="Footer"/>
    <w:uiPriority w:val="99"/>
    <w:rsid w:val="006258D7"/>
    <w:rPr>
      <w:rFonts w:ascii="Times New Roman" w:hAnsi="Times New Roman"/>
      <w:sz w:val="21"/>
      <w:szCs w:val="22"/>
      <w:lang w:eastAsia="en-US"/>
    </w:rPr>
  </w:style>
  <w:style w:type="character" w:styleId="Hyperlink">
    <w:name w:val="Hyperlink"/>
    <w:basedOn w:val="DefaultParagraphFont"/>
    <w:uiPriority w:val="99"/>
    <w:unhideWhenUsed/>
    <w:rsid w:val="00D512A4"/>
  </w:style>
  <w:style w:type="paragraph" w:styleId="FootnoteText">
    <w:name w:val="footnote text"/>
    <w:basedOn w:val="Normal"/>
    <w:link w:val="FootnoteTextChar"/>
    <w:uiPriority w:val="99"/>
    <w:semiHidden/>
    <w:unhideWhenUsed/>
    <w:rsid w:val="005B4CD6"/>
    <w:pPr>
      <w:ind w:left="284" w:hanging="284"/>
    </w:pPr>
    <w:rPr>
      <w:sz w:val="18"/>
      <w:szCs w:val="20"/>
    </w:rPr>
  </w:style>
  <w:style w:type="character" w:customStyle="1" w:styleId="FootnoteTextChar">
    <w:name w:val="Footnote Text Char"/>
    <w:link w:val="FootnoteText"/>
    <w:uiPriority w:val="99"/>
    <w:semiHidden/>
    <w:rsid w:val="005B4CD6"/>
    <w:rPr>
      <w:rFonts w:ascii="Times New Roman" w:hAnsi="Times New Roman"/>
      <w:sz w:val="18"/>
      <w:lang w:eastAsia="en-US"/>
    </w:rPr>
  </w:style>
  <w:style w:type="character" w:styleId="FootnoteReference">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Normal"/>
    <w:next w:val="Normal"/>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AE2225"/>
    <w:pPr>
      <w:spacing w:after="160" w:line="259" w:lineRule="auto"/>
      <w:ind w:left="720" w:firstLine="0"/>
      <w:contextualSpacing/>
      <w:jc w:val="left"/>
    </w:pPr>
    <w:rPr>
      <w:rFonts w:asciiTheme="minorHAnsi" w:eastAsiaTheme="minorHAnsi" w:hAnsiTheme="minorHAnsi" w:cstheme="minorBidi"/>
      <w:sz w:val="22"/>
    </w:rPr>
  </w:style>
  <w:style w:type="paragraph" w:styleId="BalloonText">
    <w:name w:val="Balloon Text"/>
    <w:basedOn w:val="Normal"/>
    <w:link w:val="BalloonTextChar"/>
    <w:uiPriority w:val="99"/>
    <w:semiHidden/>
    <w:unhideWhenUsed/>
    <w:rsid w:val="00296D4E"/>
    <w:rPr>
      <w:rFonts w:ascii="Tahoma" w:hAnsi="Tahoma" w:cs="Tahoma"/>
      <w:sz w:val="16"/>
      <w:szCs w:val="16"/>
    </w:rPr>
  </w:style>
  <w:style w:type="character" w:customStyle="1" w:styleId="BalloonTextChar">
    <w:name w:val="Balloon Text Char"/>
    <w:basedOn w:val="DefaultParagraphFont"/>
    <w:link w:val="BalloonText"/>
    <w:uiPriority w:val="99"/>
    <w:semiHidden/>
    <w:rsid w:val="00296D4E"/>
    <w:rPr>
      <w:rFonts w:ascii="Tahoma" w:hAnsi="Tahoma" w:cs="Tahoma"/>
      <w:sz w:val="16"/>
      <w:szCs w:val="16"/>
      <w:lang w:val="is-IS"/>
    </w:rPr>
  </w:style>
  <w:style w:type="character" w:styleId="CommentReference">
    <w:name w:val="annotation reference"/>
    <w:basedOn w:val="DefaultParagraphFont"/>
    <w:uiPriority w:val="99"/>
    <w:semiHidden/>
    <w:unhideWhenUsed/>
    <w:rsid w:val="00DF500B"/>
    <w:rPr>
      <w:sz w:val="16"/>
      <w:szCs w:val="16"/>
    </w:rPr>
  </w:style>
  <w:style w:type="paragraph" w:styleId="CommentText">
    <w:name w:val="annotation text"/>
    <w:basedOn w:val="Normal"/>
    <w:link w:val="CommentTextChar"/>
    <w:uiPriority w:val="99"/>
    <w:semiHidden/>
    <w:unhideWhenUsed/>
    <w:rsid w:val="00DF500B"/>
    <w:rPr>
      <w:sz w:val="20"/>
      <w:szCs w:val="20"/>
    </w:rPr>
  </w:style>
  <w:style w:type="character" w:customStyle="1" w:styleId="CommentTextChar">
    <w:name w:val="Comment Text Char"/>
    <w:basedOn w:val="DefaultParagraphFont"/>
    <w:link w:val="CommentText"/>
    <w:uiPriority w:val="99"/>
    <w:semiHidden/>
    <w:rsid w:val="00DF500B"/>
    <w:rPr>
      <w:rFonts w:ascii="Times New Roman" w:hAnsi="Times New Roman"/>
      <w:lang w:val="is-IS"/>
    </w:rPr>
  </w:style>
  <w:style w:type="paragraph" w:styleId="CommentSubject">
    <w:name w:val="annotation subject"/>
    <w:basedOn w:val="CommentText"/>
    <w:next w:val="CommentText"/>
    <w:link w:val="CommentSubjectChar"/>
    <w:uiPriority w:val="99"/>
    <w:semiHidden/>
    <w:unhideWhenUsed/>
    <w:rsid w:val="00DF500B"/>
    <w:rPr>
      <w:b/>
      <w:bCs/>
    </w:rPr>
  </w:style>
  <w:style w:type="character" w:customStyle="1" w:styleId="CommentSubjectChar">
    <w:name w:val="Comment Subject Char"/>
    <w:basedOn w:val="CommentTextChar"/>
    <w:link w:val="CommentSubject"/>
    <w:uiPriority w:val="99"/>
    <w:semiHidden/>
    <w:rsid w:val="00DF500B"/>
    <w:rPr>
      <w:rFonts w:ascii="Times New Roman" w:hAnsi="Times New Roman"/>
      <w:b/>
      <w:bCs/>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7033-DBCC-4E73-9590-71601521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3226</Words>
  <Characters>18392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HBR</Company>
  <LinksUpToDate>false</LinksUpToDate>
  <CharactersWithSpaces>21575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Þorbjörg Árnadóttir</dc:creator>
  <cp:lastModifiedBy>Jóhannes Tómasson</cp:lastModifiedBy>
  <cp:revision>3</cp:revision>
  <cp:lastPrinted>2017-01-27T10:49:00Z</cp:lastPrinted>
  <dcterms:created xsi:type="dcterms:W3CDTF">2017-01-27T10:48:00Z</dcterms:created>
  <dcterms:modified xsi:type="dcterms:W3CDTF">2017-01-27T10:50:00Z</dcterms:modified>
</cp:coreProperties>
</file>