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C4F38">
      <w:pPr>
        <w:spacing w:line="240" w:lineRule="atLeast"/>
        <w:rPr>
          <w:rFonts w:ascii="Tms Rmn" w:hAnsi="Tms Rmn" w:cs="Tms Rmn"/>
        </w:rPr>
      </w:pPr>
      <w:bookmarkStart w:id="0" w:name="_GoBack"/>
      <w:bookmarkEnd w:id="0"/>
    </w:p>
    <w:tbl>
      <w:tblPr>
        <w:tblW w:w="0" w:type="auto"/>
        <w:tblInd w:w="102" w:type="dxa"/>
        <w:tblLayout w:type="fixed"/>
        <w:tblCellMar>
          <w:left w:w="102" w:type="dxa"/>
          <w:right w:w="102" w:type="dxa"/>
        </w:tblCellMar>
        <w:tblLook w:val="0000" w:firstRow="0" w:lastRow="0" w:firstColumn="0" w:lastColumn="0" w:noHBand="0" w:noVBand="0"/>
      </w:tblPr>
      <w:tblGrid>
        <w:gridCol w:w="10080"/>
      </w:tblGrid>
      <w:tr w:rsidR="00000000">
        <w:tblPrEx>
          <w:tblCellMar>
            <w:top w:w="0" w:type="dxa"/>
            <w:bottom w:w="0" w:type="dxa"/>
          </w:tblCellMar>
        </w:tblPrEx>
        <w:trPr>
          <w:cantSplit/>
        </w:trPr>
        <w:tc>
          <w:tcPr>
            <w:tcW w:w="10080" w:type="dxa"/>
          </w:tcPr>
          <w:p w:rsidR="00000000" w:rsidRDefault="005C4F38">
            <w:pPr>
              <w:keepNext/>
              <w:keepLines/>
              <w:spacing w:line="240" w:lineRule="atLeast"/>
              <w:jc w:val="center"/>
              <w:rPr>
                <w:rFonts w:ascii="Tms Rmn" w:hAnsi="Tms Rmn" w:cs="Tms Rmn"/>
                <w:b/>
                <w:color w:val="000000"/>
                <w:sz w:val="28"/>
              </w:rPr>
            </w:pPr>
            <w:r>
              <w:rPr>
                <w:rFonts w:ascii="Tms Rmn" w:hAnsi="Tms Rmn" w:cs="Tms Rmn"/>
                <w:b/>
                <w:color w:val="000000"/>
                <w:sz w:val="28"/>
              </w:rPr>
              <w:t>Fjármálaráðuneytið</w:t>
            </w:r>
          </w:p>
        </w:tc>
      </w:tr>
      <w:tr w:rsidR="00000000">
        <w:tblPrEx>
          <w:tblCellMar>
            <w:top w:w="0" w:type="dxa"/>
            <w:bottom w:w="0" w:type="dxa"/>
          </w:tblCellMar>
        </w:tblPrEx>
        <w:trPr>
          <w:cantSplit/>
        </w:trPr>
        <w:tc>
          <w:tcPr>
            <w:tcW w:w="10080" w:type="dxa"/>
          </w:tcPr>
          <w:p w:rsidR="00000000" w:rsidRDefault="005C4F38">
            <w:pPr>
              <w:keepNext/>
              <w:keepLines/>
              <w:spacing w:line="240" w:lineRule="atLeast"/>
              <w:jc w:val="center"/>
              <w:rPr>
                <w:rFonts w:ascii="Tms Rmn" w:hAnsi="Tms Rmn" w:cs="Tms Rmn"/>
                <w:b/>
                <w:color w:val="000000"/>
                <w:sz w:val="28"/>
              </w:rPr>
            </w:pPr>
            <w:r>
              <w:rPr>
                <w:rFonts w:ascii="Tms Rmn" w:hAnsi="Tms Rmn" w:cs="Tms Rmn"/>
                <w:b/>
                <w:color w:val="000000"/>
                <w:sz w:val="28"/>
              </w:rPr>
              <w:t>Frjálst form</w:t>
            </w:r>
          </w:p>
        </w:tc>
      </w:tr>
    </w:tbl>
    <w:p w:rsidR="00000000" w:rsidRDefault="005C4F38">
      <w:pPr>
        <w:rPr>
          <w:rFonts w:ascii="Tms Rmn" w:hAnsi="Tms Rmn" w:cs="Tms Rmn"/>
          <w:b/>
          <w:color w:val="000000"/>
          <w:sz w:val="28"/>
        </w:rPr>
      </w:pPr>
    </w:p>
    <w:p w:rsidR="00000000" w:rsidRDefault="005C4F38">
      <w:pPr>
        <w:tabs>
          <w:tab w:val="left" w:pos="5176"/>
          <w:tab w:val="left" w:pos="9428"/>
        </w:tabs>
        <w:spacing w:line="240" w:lineRule="atLeast"/>
        <w:ind w:left="357"/>
        <w:jc w:val="center"/>
        <w:rPr>
          <w:rFonts w:ascii="Tms Rmn" w:hAnsi="Tms Rmn" w:cs="Tms Rmn"/>
          <w:b/>
          <w:color w:val="000000"/>
          <w:sz w:val="28"/>
        </w:rPr>
      </w:pPr>
    </w:p>
    <w:p w:rsidR="00000000" w:rsidRDefault="005C4F38">
      <w:pPr>
        <w:spacing w:line="240" w:lineRule="atLeast"/>
        <w:ind w:left="357"/>
        <w:jc w:val="both"/>
        <w:rPr>
          <w:rFonts w:ascii="Tms Rmn" w:hAnsi="Tms Rmn" w:cs="Tms Rmn"/>
          <w:color w:val="000000"/>
        </w:rPr>
      </w:pPr>
      <w:r>
        <w:rPr>
          <w:rFonts w:ascii="Tms Rmn" w:hAnsi="Tms Rmn" w:cs="Tms Rmn"/>
          <w:color w:val="000000"/>
        </w:rPr>
        <w:tab/>
      </w:r>
      <w:r>
        <w:rPr>
          <w:rFonts w:ascii="Tms Rmn" w:hAnsi="Tms Rmn" w:cs="Tms Rmn"/>
          <w:color w:val="000000"/>
        </w:rPr>
        <w:tab/>
      </w:r>
      <w:r>
        <w:rPr>
          <w:rFonts w:ascii="Tms Rmn" w:hAnsi="Tms Rmn" w:cs="Tms Rmn"/>
          <w:color w:val="000000"/>
        </w:rPr>
        <w:tab/>
      </w:r>
      <w:r>
        <w:rPr>
          <w:rFonts w:ascii="Tms Rmn" w:hAnsi="Tms Rmn" w:cs="Tms Rmn"/>
          <w:color w:val="000000"/>
        </w:rPr>
        <w:tab/>
      </w:r>
      <w:r>
        <w:rPr>
          <w:rFonts w:ascii="Tms Rmn" w:hAnsi="Tms Rmn" w:cs="Tms Rmn"/>
          <w:color w:val="000000"/>
        </w:rPr>
        <w:tab/>
      </w:r>
      <w:r>
        <w:rPr>
          <w:rFonts w:ascii="Tms Rmn" w:hAnsi="Tms Rmn" w:cs="Tms Rmn"/>
          <w:color w:val="000000"/>
        </w:rPr>
        <w:tab/>
      </w:r>
      <w:r>
        <w:rPr>
          <w:rFonts w:ascii="Tms Rmn" w:hAnsi="Tms Rmn" w:cs="Tms Rmn"/>
          <w:color w:val="000000"/>
        </w:rPr>
        <w:tab/>
      </w:r>
      <w:r>
        <w:rPr>
          <w:rFonts w:ascii="Tms Rmn" w:hAnsi="Tms Rmn" w:cs="Tms Rmn"/>
          <w:color w:val="000000"/>
        </w:rPr>
        <w:tab/>
      </w:r>
      <w:r>
        <w:rPr>
          <w:rFonts w:ascii="Tms Rmn" w:hAnsi="Tms Rmn" w:cs="Tms Rmn"/>
          <w:color w:val="000000"/>
        </w:rPr>
        <w:tab/>
      </w:r>
      <w:r>
        <w:rPr>
          <w:rFonts w:ascii="Tms Rmn" w:hAnsi="Tms Rmn" w:cs="Tms Rmn"/>
          <w:color w:val="000000"/>
        </w:rPr>
        <w:tab/>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center"/>
        <w:rPr>
          <w:rFonts w:ascii="Tms Rmn" w:hAnsi="Tms Rmn" w:cs="Tms Rmn"/>
          <w:b/>
          <w:color w:val="000000"/>
          <w:sz w:val="40"/>
        </w:rPr>
      </w:pPr>
      <w:r>
        <w:rPr>
          <w:rFonts w:ascii="Tms Rmn" w:hAnsi="Tms Rmn" w:cs="Tms Rmn"/>
          <w:b/>
          <w:color w:val="000000"/>
          <w:sz w:val="40"/>
        </w:rPr>
        <w:t>#Heiti rekstrarverkefnis#</w:t>
      </w:r>
    </w:p>
    <w:p w:rsidR="00000000" w:rsidRDefault="005C4F38">
      <w:pPr>
        <w:spacing w:line="240" w:lineRule="atLeast"/>
        <w:ind w:left="357"/>
        <w:jc w:val="center"/>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line="240" w:lineRule="atLeast"/>
        <w:ind w:left="357"/>
        <w:jc w:val="both"/>
        <w:rPr>
          <w:rFonts w:ascii="Tms Rmn" w:hAnsi="Tms Rmn" w:cs="Tms Rmn"/>
          <w:b/>
          <w:color w:val="000000"/>
          <w:sz w:val="40"/>
        </w:rPr>
      </w:pPr>
    </w:p>
    <w:p w:rsidR="00000000" w:rsidRDefault="005C4F38">
      <w:pPr>
        <w:spacing w:after="120" w:line="240" w:lineRule="atLeast"/>
        <w:ind w:left="357"/>
        <w:jc w:val="center"/>
        <w:rPr>
          <w:rFonts w:ascii="Tms Rmn" w:hAnsi="Tms Rmn" w:cs="Tms Rmn"/>
          <w:b/>
          <w:color w:val="000000"/>
          <w:sz w:val="32"/>
        </w:rPr>
      </w:pPr>
      <w:r>
        <w:rPr>
          <w:rFonts w:ascii="Tms Rmn" w:hAnsi="Tms Rmn" w:cs="Tms Rmn"/>
          <w:b/>
          <w:color w:val="000000"/>
          <w:sz w:val="32"/>
        </w:rPr>
        <w:t>SAMNINGUR</w:t>
      </w:r>
      <w:r>
        <w:rPr>
          <w:rFonts w:ascii="Tms Rmn" w:hAnsi="Tms Rmn" w:cs="Tms Rmn"/>
          <w:b/>
          <w:color w:val="000000"/>
          <w:sz w:val="32"/>
        </w:rPr>
        <w:t xml:space="preserve"> UM #í hverju verkefni er fólgið#</w:t>
      </w:r>
    </w:p>
    <w:p w:rsidR="00000000" w:rsidRDefault="005C4F38">
      <w:pPr>
        <w:spacing w:line="240" w:lineRule="atLeast"/>
        <w:ind w:left="357"/>
        <w:jc w:val="both"/>
        <w:rPr>
          <w:rFonts w:ascii="Tms Rmn" w:hAnsi="Tms Rmn" w:cs="Tms Rmn"/>
          <w:b/>
          <w:color w:val="000000"/>
          <w:sz w:val="32"/>
        </w:rPr>
      </w:pPr>
    </w:p>
    <w:p w:rsidR="00000000" w:rsidRDefault="005C4F38">
      <w:pPr>
        <w:spacing w:line="240" w:lineRule="atLeast"/>
        <w:ind w:left="357"/>
        <w:jc w:val="center"/>
        <w:rPr>
          <w:rFonts w:ascii="Tms Rmn" w:hAnsi="Tms Rmn" w:cs="Tms Rmn"/>
          <w:b/>
          <w:color w:val="000000"/>
        </w:rPr>
      </w:pPr>
      <w:r>
        <w:rPr>
          <w:rFonts w:ascii="Tms Rmn" w:hAnsi="Tms Rmn" w:cs="Tms Rmn"/>
          <w:b/>
          <w:color w:val="000000"/>
        </w:rPr>
        <w:t>#SAMNINGUR NR. #númer##</w:t>
      </w:r>
    </w:p>
    <w:p w:rsidR="00000000" w:rsidRDefault="005C4F38">
      <w:pPr>
        <w:spacing w:line="240" w:lineRule="atLeast"/>
        <w:ind w:left="357"/>
        <w:jc w:val="both"/>
        <w:rPr>
          <w:rFonts w:ascii="Tms Rmn" w:hAnsi="Tms Rmn" w:cs="Tms Rmn"/>
          <w:b/>
          <w:color w:val="000000"/>
        </w:rPr>
      </w:pPr>
    </w:p>
    <w:p w:rsidR="00000000" w:rsidRDefault="005C4F38">
      <w:pPr>
        <w:spacing w:line="240" w:lineRule="atLeast"/>
        <w:ind w:left="357"/>
        <w:jc w:val="both"/>
        <w:rPr>
          <w:rFonts w:ascii="Tms Rmn" w:hAnsi="Tms Rmn" w:cs="Tms Rmn"/>
          <w:b/>
          <w:color w:val="000000"/>
        </w:rPr>
      </w:pPr>
    </w:p>
    <w:p w:rsidR="00000000" w:rsidRDefault="005C4F38">
      <w:pPr>
        <w:spacing w:line="240" w:lineRule="atLeast"/>
        <w:ind w:left="357"/>
        <w:jc w:val="center"/>
        <w:rPr>
          <w:rFonts w:ascii="Tms Rmn" w:hAnsi="Tms Rmn" w:cs="Tms Rmn"/>
          <w:b/>
          <w:color w:val="000000"/>
        </w:rPr>
      </w:pPr>
    </w:p>
    <w:p w:rsidR="00000000" w:rsidRDefault="005C4F38">
      <w:pPr>
        <w:spacing w:line="240" w:lineRule="atLeast"/>
        <w:ind w:left="357"/>
        <w:jc w:val="both"/>
        <w:rPr>
          <w:rFonts w:ascii="Tms Rmn" w:hAnsi="Tms Rmn" w:cs="Tms Rmn"/>
          <w:b/>
          <w:color w:val="000000"/>
        </w:rPr>
      </w:pPr>
    </w:p>
    <w:p w:rsidR="00000000" w:rsidRDefault="005C4F38">
      <w:pPr>
        <w:spacing w:line="240" w:lineRule="atLeast"/>
        <w:ind w:left="357"/>
        <w:jc w:val="both"/>
        <w:rPr>
          <w:rFonts w:ascii="Tms Rmn" w:hAnsi="Tms Rmn" w:cs="Tms Rmn"/>
          <w:b/>
          <w:color w:val="000000"/>
        </w:rPr>
      </w:pPr>
    </w:p>
    <w:p w:rsidR="00000000" w:rsidRDefault="005C4F38">
      <w:pPr>
        <w:spacing w:line="240" w:lineRule="atLeast"/>
        <w:ind w:left="357"/>
        <w:jc w:val="both"/>
        <w:rPr>
          <w:rFonts w:ascii="Tms Rmn" w:hAnsi="Tms Rmn" w:cs="Tms Rmn"/>
          <w:b/>
          <w:color w:val="000000"/>
        </w:rPr>
      </w:pPr>
    </w:p>
    <w:p w:rsidR="00000000" w:rsidRDefault="005C4F38">
      <w:pPr>
        <w:tabs>
          <w:tab w:val="left" w:pos="1633"/>
          <w:tab w:val="left" w:pos="4610"/>
          <w:tab w:val="left" w:pos="5602"/>
        </w:tabs>
        <w:spacing w:line="240" w:lineRule="atLeast"/>
        <w:rPr>
          <w:rFonts w:ascii="Tms Rmn" w:hAnsi="Tms Rmn" w:cs="Tms Rmn"/>
          <w:b/>
          <w:color w:val="000000"/>
        </w:rPr>
      </w:pPr>
    </w:p>
    <w:p w:rsidR="00000000" w:rsidRDefault="005C4F38">
      <w:pPr>
        <w:tabs>
          <w:tab w:val="left" w:pos="1633"/>
          <w:tab w:val="left" w:pos="4610"/>
          <w:tab w:val="left" w:pos="5602"/>
        </w:tabs>
        <w:spacing w:line="240" w:lineRule="atLeast"/>
        <w:rPr>
          <w:rFonts w:ascii="Tms Rmn" w:hAnsi="Tms Rmn" w:cs="Tms Rmn"/>
          <w:b/>
          <w:color w:val="000000"/>
        </w:rPr>
      </w:pPr>
    </w:p>
    <w:p w:rsidR="00000000" w:rsidRDefault="005C4F38">
      <w:pPr>
        <w:tabs>
          <w:tab w:val="left" w:pos="1633"/>
          <w:tab w:val="left" w:pos="4610"/>
          <w:tab w:val="left" w:pos="5602"/>
        </w:tabs>
        <w:spacing w:line="240" w:lineRule="atLeast"/>
        <w:rPr>
          <w:rFonts w:ascii="Tms Rmn" w:hAnsi="Tms Rmn" w:cs="Tms Rmn"/>
          <w:b/>
          <w:color w:val="000000"/>
        </w:rPr>
      </w:pPr>
    </w:p>
    <w:p w:rsidR="00000000" w:rsidRDefault="005C4F38">
      <w:pPr>
        <w:tabs>
          <w:tab w:val="left" w:pos="1633"/>
          <w:tab w:val="left" w:pos="4610"/>
          <w:tab w:val="left" w:pos="5602"/>
        </w:tabs>
        <w:spacing w:line="240" w:lineRule="atLeast"/>
        <w:rPr>
          <w:rFonts w:ascii="Tms Rmn" w:hAnsi="Tms Rmn" w:cs="Tms Rmn"/>
          <w:b/>
          <w:color w:val="000000"/>
        </w:rPr>
      </w:pPr>
      <w:r>
        <w:rPr>
          <w:rFonts w:ascii="Tms Rmn" w:hAnsi="Tms Rmn" w:cs="Tms Rmn"/>
          <w:b/>
          <w:color w:val="000000"/>
        </w:rPr>
        <w:t xml:space="preserve">      Verkkaupi:</w:t>
      </w:r>
      <w:r>
        <w:rPr>
          <w:rFonts w:ascii="Tms Rmn" w:hAnsi="Tms Rmn" w:cs="Tms Rmn"/>
          <w:color w:val="000000"/>
        </w:rPr>
        <w:tab/>
      </w:r>
      <w:r>
        <w:rPr>
          <w:rFonts w:ascii="Tms Rmn" w:hAnsi="Tms Rmn" w:cs="Tms Rmn"/>
          <w:color w:val="000000"/>
        </w:rPr>
        <w:tab/>
      </w:r>
      <w:r>
        <w:rPr>
          <w:rFonts w:ascii="Tms Rmn" w:hAnsi="Tms Rmn" w:cs="Tms Rmn"/>
          <w:color w:val="000000"/>
        </w:rPr>
        <w:tab/>
      </w:r>
      <w:r>
        <w:rPr>
          <w:rFonts w:ascii="Tms Rmn" w:hAnsi="Tms Rmn" w:cs="Tms Rmn"/>
          <w:b/>
          <w:color w:val="000000"/>
        </w:rPr>
        <w:t>Verksali:</w:t>
      </w:r>
      <w:r>
        <w:rPr>
          <w:rFonts w:ascii="Tms Rmn" w:hAnsi="Tms Rmn" w:cs="Tms Rmn"/>
          <w:b/>
          <w:color w:val="000000"/>
        </w:rPr>
        <w:tab/>
      </w:r>
    </w:p>
    <w:p w:rsidR="00000000" w:rsidRDefault="005C4F38">
      <w:pPr>
        <w:tabs>
          <w:tab w:val="left" w:pos="1633"/>
          <w:tab w:val="left" w:pos="4610"/>
          <w:tab w:val="left" w:pos="5602"/>
        </w:tabs>
        <w:spacing w:line="240" w:lineRule="atLeast"/>
        <w:ind w:left="357"/>
        <w:rPr>
          <w:rFonts w:ascii="Tms Rmn" w:hAnsi="Tms Rmn" w:cs="Tms Rmn"/>
          <w:color w:val="000000"/>
        </w:rPr>
      </w:pPr>
      <w:r>
        <w:rPr>
          <w:rFonts w:ascii="Tms Rmn" w:hAnsi="Tms Rmn" w:cs="Tms Rmn"/>
          <w:color w:val="000000"/>
        </w:rPr>
        <w:t>#heiti verkkaupa#</w:t>
      </w:r>
      <w:r>
        <w:rPr>
          <w:rFonts w:ascii="Tms Rmn" w:hAnsi="Tms Rmn" w:cs="Tms Rmn"/>
          <w:b/>
          <w:color w:val="000000"/>
        </w:rPr>
        <w:tab/>
      </w:r>
      <w:r>
        <w:rPr>
          <w:rFonts w:ascii="Tms Rmn" w:hAnsi="Tms Rmn" w:cs="Tms Rmn"/>
          <w:b/>
          <w:color w:val="000000"/>
        </w:rPr>
        <w:tab/>
      </w:r>
      <w:r>
        <w:rPr>
          <w:rFonts w:ascii="Tms Rmn" w:hAnsi="Tms Rmn" w:cs="Tms Rmn"/>
          <w:color w:val="000000"/>
        </w:rPr>
        <w:t>#heiti verksala#</w:t>
      </w:r>
    </w:p>
    <w:p w:rsidR="00000000" w:rsidRDefault="005C4F38">
      <w:pPr>
        <w:tabs>
          <w:tab w:val="left" w:pos="4893"/>
        </w:tabs>
        <w:spacing w:line="240" w:lineRule="atLeast"/>
        <w:ind w:left="357"/>
        <w:jc w:val="both"/>
        <w:rPr>
          <w:rFonts w:ascii="Tms Rmn" w:hAnsi="Tms Rmn" w:cs="Tms Rmn"/>
          <w:color w:val="000000"/>
        </w:rPr>
      </w:pPr>
    </w:p>
    <w:p w:rsidR="00000000" w:rsidRDefault="005C4F38">
      <w:pPr>
        <w:tabs>
          <w:tab w:val="left" w:pos="4893"/>
        </w:tabs>
        <w:spacing w:line="240" w:lineRule="atLeast"/>
        <w:ind w:left="357"/>
        <w:jc w:val="both"/>
        <w:rPr>
          <w:rFonts w:ascii="Tms Rmn" w:hAnsi="Tms Rmn" w:cs="Tms Rmn"/>
          <w:color w:val="000000"/>
        </w:rPr>
      </w:pPr>
      <w:r>
        <w:rPr>
          <w:rFonts w:ascii="Tms Rmn" w:hAnsi="Tms Rmn" w:cs="Tms Rmn"/>
          <w:color w:val="000000"/>
        </w:rPr>
        <w:t>#Heiti verkkaupa, kennitala og heimilisfang# í samningi þessum nefndur verkkaupi og #heiti verksala, kennitala og heimilisfang# í samningi þessum nefndur verksali, gera með sér svohljóðandi</w:t>
      </w:r>
    </w:p>
    <w:p w:rsidR="00000000" w:rsidRDefault="005C4F38">
      <w:pPr>
        <w:tabs>
          <w:tab w:val="left" w:pos="4893"/>
        </w:tabs>
        <w:spacing w:line="240" w:lineRule="atLeast"/>
        <w:ind w:left="357"/>
        <w:jc w:val="both"/>
        <w:rPr>
          <w:rFonts w:ascii="Tms Rmn" w:hAnsi="Tms Rmn" w:cs="Tms Rmn"/>
          <w:color w:val="000000"/>
        </w:rPr>
      </w:pPr>
    </w:p>
    <w:p w:rsidR="00000000" w:rsidRDefault="005C4F38">
      <w:pPr>
        <w:spacing w:line="240" w:lineRule="atLeast"/>
        <w:ind w:left="357"/>
        <w:jc w:val="center"/>
        <w:rPr>
          <w:rFonts w:ascii="Tms Rmn" w:hAnsi="Tms Rmn" w:cs="Tms Rmn"/>
          <w:color w:val="000000"/>
        </w:rPr>
      </w:pPr>
      <w:r>
        <w:rPr>
          <w:rFonts w:ascii="Tms Rmn" w:hAnsi="Tms Rmn" w:cs="Tms Rmn"/>
          <w:b/>
          <w:color w:val="000000"/>
          <w:sz w:val="36"/>
        </w:rPr>
        <w:t>Þjónustusamning</w:t>
      </w:r>
      <w:r>
        <w:rPr>
          <w:rFonts w:ascii="Tms Rmn" w:hAnsi="Tms Rmn" w:cs="Tms Rmn"/>
          <w:color w:val="000000"/>
        </w:rPr>
        <w:tab/>
      </w:r>
    </w:p>
    <w:p w:rsidR="00000000" w:rsidRDefault="005C4F38">
      <w:pPr>
        <w:tabs>
          <w:tab w:val="left" w:pos="4893"/>
        </w:tabs>
        <w:spacing w:line="240" w:lineRule="atLeast"/>
        <w:ind w:left="357"/>
        <w:jc w:val="both"/>
        <w:rPr>
          <w:rFonts w:ascii="Tms Rmn" w:hAnsi="Tms Rmn" w:cs="Tms Rmn"/>
          <w:color w:val="000000"/>
        </w:rPr>
      </w:pPr>
    </w:p>
    <w:p w:rsidR="00000000" w:rsidRDefault="005C4F38">
      <w:pPr>
        <w:spacing w:line="360" w:lineRule="atLeast"/>
        <w:ind w:left="357"/>
        <w:jc w:val="center"/>
        <w:rPr>
          <w:rFonts w:ascii="Tms Rmn" w:hAnsi="Tms Rmn" w:cs="Tms Rmn"/>
          <w:color w:val="000000"/>
        </w:rPr>
      </w:pPr>
    </w:p>
    <w:p w:rsidR="00000000" w:rsidRDefault="005C4F38">
      <w:pPr>
        <w:spacing w:line="240" w:lineRule="atLeast"/>
        <w:ind w:left="357" w:firstLine="567"/>
        <w:jc w:val="center"/>
        <w:rPr>
          <w:rFonts w:ascii="Tms Rmn" w:hAnsi="Tms Rmn" w:cs="Tms Rmn"/>
          <w:b/>
          <w:i/>
          <w:color w:val="000000"/>
        </w:rPr>
      </w:pPr>
      <w:r>
        <w:rPr>
          <w:rFonts w:ascii="Tms Rmn" w:hAnsi="Tms Rmn" w:cs="Tms Rmn"/>
          <w:b/>
          <w:i/>
          <w:color w:val="000000"/>
        </w:rPr>
        <w:t>Verkefnið.</w:t>
      </w:r>
    </w:p>
    <w:p w:rsidR="00000000" w:rsidRDefault="005C4F38">
      <w:pPr>
        <w:spacing w:line="240" w:lineRule="atLeast"/>
        <w:ind w:left="357" w:firstLine="567"/>
        <w:rPr>
          <w:rFonts w:ascii="Tms Rmn" w:hAnsi="Tms Rmn" w:cs="Tms Rmn"/>
          <w:color w:val="000000"/>
        </w:rPr>
      </w:pPr>
      <w:r>
        <w:rPr>
          <w:rFonts w:ascii="Tms Rmn" w:hAnsi="Tms Rmn" w:cs="Tms Rmn"/>
          <w:color w:val="000000"/>
        </w:rPr>
        <w:t>Einn veigamesti kafli samningsins á að vera lýsing á þeirri þjónustu sem samið er um. Lýsingin getur falist í því að svara einhverjum e</w:t>
      </w:r>
      <w:r>
        <w:rPr>
          <w:rFonts w:ascii="Tms Rmn" w:hAnsi="Tms Rmn" w:cs="Tms Rmn"/>
          <w:color w:val="000000"/>
        </w:rPr>
        <w:t>ða öllum eftirfarandi spurningum:</w:t>
      </w:r>
    </w:p>
    <w:p w:rsidR="00000000" w:rsidRDefault="005C4F38">
      <w:pPr>
        <w:spacing w:line="240" w:lineRule="atLeast"/>
        <w:ind w:left="1350"/>
        <w:rPr>
          <w:rFonts w:ascii="Tms Rmn" w:hAnsi="Tms Rmn" w:cs="Tms Rmn"/>
          <w:color w:val="000000"/>
        </w:rPr>
      </w:pPr>
      <w:r>
        <w:rPr>
          <w:rFonts w:ascii="Tms Rmn" w:hAnsi="Tms Rmn" w:cs="Tms Rmn"/>
          <w:b/>
          <w:color w:val="000000"/>
        </w:rPr>
        <w:t>Að hverjum beinist verkefnið</w:t>
      </w:r>
      <w:r>
        <w:rPr>
          <w:rFonts w:ascii="Tms Rmn" w:hAnsi="Tms Rmn" w:cs="Tms Rmn"/>
          <w:color w:val="000000"/>
        </w:rPr>
        <w:t xml:space="preserve"> sérstaklega, hvaða </w:t>
      </w:r>
      <w:r>
        <w:rPr>
          <w:rFonts w:ascii="Tms Rmn" w:hAnsi="Tms Rmn" w:cs="Tms Rmn"/>
          <w:b/>
          <w:color w:val="000000"/>
        </w:rPr>
        <w:t>þörfum</w:t>
      </w:r>
      <w:r>
        <w:rPr>
          <w:rFonts w:ascii="Tms Rmn" w:hAnsi="Tms Rmn" w:cs="Tms Rmn"/>
          <w:color w:val="000000"/>
        </w:rPr>
        <w:t xml:space="preserve"> er því ætlað að koma til móts við og hver er </w:t>
      </w:r>
      <w:r>
        <w:rPr>
          <w:rFonts w:ascii="Tms Rmn" w:hAnsi="Tms Rmn" w:cs="Tms Rmn"/>
          <w:b/>
          <w:color w:val="000000"/>
        </w:rPr>
        <w:t>tilgangur</w:t>
      </w:r>
      <w:r>
        <w:rPr>
          <w:rFonts w:ascii="Tms Rmn" w:hAnsi="Tms Rmn" w:cs="Tms Rmn"/>
          <w:color w:val="000000"/>
        </w:rPr>
        <w:t xml:space="preserve"> eða </w:t>
      </w:r>
      <w:r>
        <w:rPr>
          <w:rFonts w:ascii="Tms Rmn" w:hAnsi="Tms Rmn" w:cs="Tms Rmn"/>
          <w:b/>
          <w:color w:val="000000"/>
        </w:rPr>
        <w:t>markmið</w:t>
      </w:r>
      <w:r>
        <w:rPr>
          <w:rFonts w:ascii="Tms Rmn" w:hAnsi="Tms Rmn" w:cs="Tms Rmn"/>
          <w:color w:val="000000"/>
        </w:rPr>
        <w:t xml:space="preserve"> verkefnis?</w:t>
      </w:r>
    </w:p>
    <w:p w:rsidR="00000000" w:rsidRDefault="005C4F38">
      <w:pPr>
        <w:spacing w:line="240" w:lineRule="atLeast"/>
        <w:ind w:left="1350"/>
        <w:rPr>
          <w:rFonts w:ascii="Tms Rmn" w:hAnsi="Tms Rmn" w:cs="Tms Rmn"/>
          <w:color w:val="000000"/>
        </w:rPr>
      </w:pPr>
      <w:r>
        <w:rPr>
          <w:rFonts w:ascii="Tms Rmn" w:hAnsi="Tms Rmn" w:cs="Tms Rmn"/>
          <w:b/>
          <w:color w:val="000000"/>
        </w:rPr>
        <w:t>Í hverju er verkefnið fólgið</w:t>
      </w:r>
      <w:r>
        <w:rPr>
          <w:rFonts w:ascii="Tms Rmn" w:hAnsi="Tms Rmn" w:cs="Tms Rmn"/>
          <w:color w:val="000000"/>
        </w:rPr>
        <w:t xml:space="preserve">, hvað </w:t>
      </w:r>
      <w:r>
        <w:rPr>
          <w:rFonts w:ascii="Tms Rmn" w:hAnsi="Tms Rmn" w:cs="Tms Rmn"/>
          <w:b/>
          <w:color w:val="000000"/>
        </w:rPr>
        <w:t>afmarkar</w:t>
      </w:r>
      <w:r>
        <w:rPr>
          <w:rFonts w:ascii="Tms Rmn" w:hAnsi="Tms Rmn" w:cs="Tms Rmn"/>
          <w:color w:val="000000"/>
        </w:rPr>
        <w:t xml:space="preserve"> það, hverjar eru </w:t>
      </w:r>
      <w:r>
        <w:rPr>
          <w:rFonts w:ascii="Tms Rmn" w:hAnsi="Tms Rmn" w:cs="Tms Rmn"/>
          <w:b/>
          <w:color w:val="000000"/>
        </w:rPr>
        <w:t>afurðir</w:t>
      </w:r>
      <w:r>
        <w:rPr>
          <w:rFonts w:ascii="Tms Rmn" w:hAnsi="Tms Rmn" w:cs="Tms Rmn"/>
          <w:color w:val="000000"/>
        </w:rPr>
        <w:t xml:space="preserve"> þess og hvernig lýkur því?</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Til hvers er sérstaklega ætlast af verksala við </w:t>
      </w:r>
      <w:r>
        <w:rPr>
          <w:rFonts w:ascii="Tms Rmn" w:hAnsi="Tms Rmn" w:cs="Tms Rmn"/>
          <w:b/>
          <w:color w:val="000000"/>
        </w:rPr>
        <w:t>framkvæmd</w:t>
      </w:r>
      <w:r>
        <w:rPr>
          <w:rFonts w:ascii="Tms Rmn" w:hAnsi="Tms Rmn" w:cs="Tms Rmn"/>
          <w:color w:val="000000"/>
        </w:rPr>
        <w:t xml:space="preserve"> verkefnisins?</w:t>
      </w:r>
    </w:p>
    <w:p w:rsidR="00000000" w:rsidRDefault="005C4F38">
      <w:pPr>
        <w:spacing w:line="240" w:lineRule="atLeast"/>
        <w:ind w:left="1350"/>
        <w:jc w:val="both"/>
        <w:rPr>
          <w:rFonts w:ascii="Tms Rmn" w:hAnsi="Tms Rmn" w:cs="Tms Rmn"/>
          <w:color w:val="000000"/>
        </w:rPr>
      </w:pPr>
      <w:r>
        <w:rPr>
          <w:rFonts w:ascii="Tms Rmn" w:hAnsi="Tms Rmn" w:cs="Tms Rmn"/>
          <w:color w:val="000000"/>
        </w:rPr>
        <w:t xml:space="preserve">Almennt ætti að miða við að sjálfur </w:t>
      </w:r>
      <w:r>
        <w:rPr>
          <w:rFonts w:ascii="Tms Rmn" w:hAnsi="Tms Rmn" w:cs="Tms Rmn"/>
          <w:b/>
          <w:color w:val="000000"/>
        </w:rPr>
        <w:t>samningurinn verði tiltölulega stuttur</w:t>
      </w:r>
      <w:r>
        <w:rPr>
          <w:rFonts w:ascii="Tms Rmn" w:hAnsi="Tms Rmn" w:cs="Tms Rmn"/>
          <w:color w:val="000000"/>
        </w:rPr>
        <w:t>, t.d. innan við fimm síður, en nánari lýsing komi í fylgiskjali. Skulu nú nefnd dæmi um atriði sem</w:t>
      </w:r>
      <w:r>
        <w:rPr>
          <w:rFonts w:ascii="Tms Rmn" w:hAnsi="Tms Rmn" w:cs="Tms Rmn"/>
          <w:color w:val="000000"/>
        </w:rPr>
        <w:t xml:space="preserve"> þarf að huga að við samningagerðina.</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Fram þarf að koma eftir því sem unnt er hvaða </w:t>
      </w:r>
      <w:r>
        <w:rPr>
          <w:rFonts w:ascii="Tms Rmn" w:hAnsi="Tms Rmn" w:cs="Tms Rmn"/>
          <w:b/>
          <w:color w:val="000000"/>
        </w:rPr>
        <w:t>magn</w:t>
      </w:r>
      <w:r>
        <w:rPr>
          <w:rFonts w:ascii="Tms Rmn" w:hAnsi="Tms Rmn" w:cs="Tms Rmn"/>
          <w:color w:val="000000"/>
        </w:rPr>
        <w:t xml:space="preserve"> afurða eða þjónustu ætlast er til að verksali láti í té. Í sumum tilvikum getur þó verið heppilegra að tilgreina </w:t>
      </w:r>
      <w:r>
        <w:rPr>
          <w:rFonts w:ascii="Tms Rmn" w:hAnsi="Tms Rmn" w:cs="Tms Rmn"/>
          <w:b/>
          <w:color w:val="000000"/>
        </w:rPr>
        <w:t>töluleg markmið</w:t>
      </w:r>
      <w:r>
        <w:rPr>
          <w:rFonts w:ascii="Tms Rmn" w:hAnsi="Tms Rmn" w:cs="Tms Rmn"/>
          <w:color w:val="000000"/>
        </w:rPr>
        <w:t xml:space="preserve"> sem gert er ráð fyrir að verksali nái við framkvæmd verkefnisins. Þar sem því verður við komið ætti að tengja greiðslur við markmið og þjónustumagn.</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Tilgreina ætti eftir því sem við á viðmið fyrir </w:t>
      </w:r>
      <w:r>
        <w:rPr>
          <w:rFonts w:ascii="Tms Rmn" w:hAnsi="Tms Rmn" w:cs="Tms Rmn"/>
          <w:b/>
          <w:color w:val="000000"/>
        </w:rPr>
        <w:t>gæði</w:t>
      </w:r>
      <w:r>
        <w:rPr>
          <w:rFonts w:ascii="Tms Rmn" w:hAnsi="Tms Rmn" w:cs="Tms Rmn"/>
          <w:color w:val="000000"/>
        </w:rPr>
        <w:t xml:space="preserve"> þjónustu, t.d. með því að vísa til viðeigandi staðla eða setja viðmiðanir, t.d. tölulegar.</w:t>
      </w:r>
      <w:r>
        <w:rPr>
          <w:rFonts w:ascii="Tms Rmn" w:hAnsi="Tms Rmn" w:cs="Tms Rmn"/>
          <w:color w:val="000000"/>
        </w:rPr>
        <w:t xml:space="preserve"> Þannig þarf ef til vill að setja viðmiðanir um viðbragðstíma, afgreiðslutíma, þjónustutíðni og dagsetningar svo eitthvað sé nefnt.</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Almennt ætti að gera ráð fyrir að bæði </w:t>
      </w:r>
      <w:r>
        <w:rPr>
          <w:rFonts w:ascii="Tms Rmn" w:hAnsi="Tms Rmn" w:cs="Tms Rmn"/>
          <w:b/>
          <w:color w:val="000000"/>
        </w:rPr>
        <w:t>verkkaupi og</w:t>
      </w:r>
      <w:r>
        <w:rPr>
          <w:rFonts w:ascii="Tms Rmn" w:hAnsi="Tms Rmn" w:cs="Tms Rmn"/>
          <w:color w:val="000000"/>
        </w:rPr>
        <w:t xml:space="preserve"> </w:t>
      </w:r>
      <w:r>
        <w:rPr>
          <w:rFonts w:ascii="Tms Rmn" w:hAnsi="Tms Rmn" w:cs="Tms Rmn"/>
          <w:b/>
          <w:color w:val="000000"/>
        </w:rPr>
        <w:t>verksali haldi uppi eftirlit</w:t>
      </w:r>
      <w:r>
        <w:rPr>
          <w:rFonts w:ascii="Tms Rmn" w:hAnsi="Tms Rmn" w:cs="Tms Rmn"/>
          <w:color w:val="000000"/>
        </w:rPr>
        <w:t xml:space="preserve"> til að tryggja gæði þjónustunnar. Slíkt eftirlit getur verið með ýmsu móti, t.d. gæðakerfi eða sjálfsmat sem hægt er að taka út. Að hluta til gæti slíkt eftirlit falist í því að skrá niður kvartanir notenda og meðferð kvartana. ásamt því að gera kannanir meðal notenda.</w:t>
      </w:r>
    </w:p>
    <w:p w:rsidR="00000000" w:rsidRDefault="005C4F38">
      <w:pPr>
        <w:spacing w:line="240" w:lineRule="atLeast"/>
        <w:ind w:left="1350"/>
        <w:rPr>
          <w:rFonts w:ascii="Tms Rmn" w:hAnsi="Tms Rmn" w:cs="Tms Rmn"/>
          <w:color w:val="000000"/>
        </w:rPr>
      </w:pPr>
      <w:r>
        <w:rPr>
          <w:rFonts w:ascii="Tms Rmn" w:hAnsi="Tms Rmn" w:cs="Tms Rmn"/>
          <w:color w:val="000000"/>
        </w:rPr>
        <w:t>Meta þarf hvort verksali þa</w:t>
      </w:r>
      <w:r>
        <w:rPr>
          <w:rFonts w:ascii="Tms Rmn" w:hAnsi="Tms Rmn" w:cs="Tms Rmn"/>
          <w:color w:val="000000"/>
        </w:rPr>
        <w:t xml:space="preserve">rf að </w:t>
      </w:r>
      <w:r>
        <w:rPr>
          <w:rFonts w:ascii="Tms Rmn" w:hAnsi="Tms Rmn" w:cs="Tms Rmn"/>
          <w:b/>
          <w:color w:val="000000"/>
        </w:rPr>
        <w:t>auglýsa</w:t>
      </w:r>
      <w:r>
        <w:rPr>
          <w:rFonts w:ascii="Tms Rmn" w:hAnsi="Tms Rmn" w:cs="Tms Rmn"/>
          <w:color w:val="000000"/>
        </w:rPr>
        <w:t xml:space="preserve"> eða upplýsa notendur á annan hátt um þjónustuna, t.d. hvaða þjónusta er veitt, hve góðri þjónustu er lofað, hvernig þjónustan er veitt, hvaða skilmálar gilda, hver er réttur notenda  og hvernig er farið með kvartanir. </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Hluti af afmörkun þjónustu er að tilgreina </w:t>
      </w:r>
      <w:r>
        <w:rPr>
          <w:rFonts w:ascii="Tms Rmn" w:hAnsi="Tms Rmn" w:cs="Tms Rmn"/>
          <w:b/>
          <w:color w:val="000000"/>
        </w:rPr>
        <w:t>notendur</w:t>
      </w:r>
      <w:r>
        <w:rPr>
          <w:rFonts w:ascii="Tms Rmn" w:hAnsi="Tms Rmn" w:cs="Tms Rmn"/>
          <w:color w:val="000000"/>
        </w:rPr>
        <w:t xml:space="preserve"> hennar, hvernig aðgangi er stjórnað eða samkvæmt hvaða reglum aðgangur er ákveðinn.</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Eftir því sem tekst betur að skilgreina þær afurðir og þjónustu sem felast í verkinu, m.a. hvað varðar umfang og gæði, ætti að draga úr þörf </w:t>
      </w:r>
      <w:r>
        <w:rPr>
          <w:rFonts w:ascii="Tms Rmn" w:hAnsi="Tms Rmn" w:cs="Tms Rmn"/>
          <w:color w:val="000000"/>
        </w:rPr>
        <w:t>fyrir sérstakar kröfur til verksala um aðstöðu, aðföng og aðferðir við framkvæmd þess. Í þeim tilvikum sem slík kröfugerð er talin nauðsynleg er lagt til lýsingin tryggi verksala jafnframt nægilegt svigrúm til að leysa verkið á þann hátt sem hann telur hagkvæmt.</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Við afmörkun verkefnisins kann að vera rétt að taka fram hvað felst ekki í því, t.d. hvaða þjónustu verksala er ekki skylt að veita. Eins getur í einhverjum tilvikum þurft að </w:t>
      </w:r>
      <w:r>
        <w:rPr>
          <w:rFonts w:ascii="Tms Rmn" w:hAnsi="Tms Rmn" w:cs="Tms Rmn"/>
          <w:color w:val="000000"/>
        </w:rPr>
        <w:lastRenderedPageBreak/>
        <w:t>takmarka þjónustu sem verksali býður til kaups samhliða þeirri þjónustu s</w:t>
      </w:r>
      <w:r>
        <w:rPr>
          <w:rFonts w:ascii="Tms Rmn" w:hAnsi="Tms Rmn" w:cs="Tms Rmn"/>
          <w:color w:val="000000"/>
        </w:rPr>
        <w:t>em ríkið kostar og ekki samrýmist henni.</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Skiptist verkefnið í </w:t>
      </w:r>
      <w:r>
        <w:rPr>
          <w:rFonts w:ascii="Tms Rmn" w:hAnsi="Tms Rmn" w:cs="Tms Rmn"/>
          <w:b/>
          <w:color w:val="000000"/>
        </w:rPr>
        <w:t>áfanga</w:t>
      </w:r>
      <w:r>
        <w:rPr>
          <w:rFonts w:ascii="Tms Rmn" w:hAnsi="Tms Rmn" w:cs="Tms Rmn"/>
          <w:color w:val="000000"/>
        </w:rPr>
        <w:t xml:space="preserve"> getur þurft að greina frá því hverjir þeir eru, í hvaða röð þeir skulu unnir og hvernig þeim lýkur.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Samkvæmt 2. m.gr. 30. gr. fjárreiðulaga verður einkaaðila ekki falið með samningi opinbert vald til að taka </w:t>
      </w:r>
      <w:r>
        <w:rPr>
          <w:rFonts w:ascii="Tms Rmn" w:hAnsi="Tms Rmn" w:cs="Tms Rmn"/>
          <w:b/>
          <w:color w:val="000000"/>
        </w:rPr>
        <w:t>ákvarðanir um réttindi og skyldur manna</w:t>
      </w:r>
      <w:r>
        <w:rPr>
          <w:rFonts w:ascii="Tms Rmn" w:hAnsi="Tms Rmn" w:cs="Tms Rmn"/>
          <w:color w:val="000000"/>
        </w:rPr>
        <w:t xml:space="preserve"> nema sérstök heimild sé til þess í lögum. Tilgangur þessa ákvæðis er að draga fram almenna reglu sem alltaf hefur gilt. Hér er átt við ákvarðanir sem varða ákveðna einstaklinga eða lögaðila, e</w:t>
      </w:r>
      <w:r>
        <w:rPr>
          <w:rFonts w:ascii="Tms Rmn" w:hAnsi="Tms Rmn" w:cs="Tms Rmn"/>
          <w:color w:val="000000"/>
        </w:rPr>
        <w:t>inn eða fleiri og stjórnsýslulög nr. 37/1993 gilda um. Þau lög ná ekki til margvíslegrar þjónustustarfsemi á vegum hins opinbera, svo sem ummönnunar sjúkra, fatlaðra og aldraðra, kennslu og bókavörslu svo nokkur dæmi séu nefnd. Það getur þó verið álitamál hvort þær ákvarðanir sem tengjast opinberri þjónustu falla undir gildissvið laganna. Í því efni verður að skoða hvort ákvörðunin lýtur fyrst og fremst að framkvæmdinni, svo sem hvenær og hvernig læknisaðgerð skuli framkvæmd, eða hvort hún er fremur lagaleg</w:t>
      </w:r>
      <w:r>
        <w:rPr>
          <w:rFonts w:ascii="Tms Rmn" w:hAnsi="Tms Rmn" w:cs="Tms Rmn"/>
          <w:color w:val="000000"/>
        </w:rPr>
        <w:t xml:space="preserve">s eðlis, þ.e. færir mönnum réttindi eða skerðir þau, léttir skyldum af mönnum eða leggur á þá auknar byrðar. Sem dæmi má taka ákvörðun læknis um að framkvæma læknisaðgerð eða synja um framkvæmd hennar. Þó verður að líta til þess hvort ákvörðunin er meiriháttar eða minniháttar. Þannig myndi synjun læknis um að framkvæma fóstureyðingu falla undir Stjórnsýslulög, en synjun um að framkvæma minni háttar læknisverk tæplega teljast stjórnsýsluákvörðun. Annað dæmi er kennsla í skólum. Kennsla, próftaka og útskrift </w:t>
      </w:r>
      <w:r>
        <w:rPr>
          <w:rFonts w:ascii="Tms Rmn" w:hAnsi="Tms Rmn" w:cs="Tms Rmn"/>
          <w:color w:val="000000"/>
        </w:rPr>
        <w:t xml:space="preserve">nemenda flokkast sem þjónustustarfsemi og telst því ekki til stjórnvaldsákvörðunar. Innritun og ákvörðun um að víkja nemanda  úr skóla í fleiri en einn dag telst aftur á móti stjórnvaldsákvörðun. Í lögum um heilbrigðisþjónustu, lögum um framhaldsskóla eða lögum um háskóla er ekki að finna sérstök ákvæði sem veita einkaaðila heimild til þess að fara með opinbert vald. Ákveða þarf í hverju tilviki um sig hver tekur ákvarðanir sem teljast vera lagalegs eðlis. Í sumum tilvikum er eðlilegt verkkaupi sjálfur eða </w:t>
      </w:r>
      <w:r>
        <w:rPr>
          <w:rFonts w:ascii="Tms Rmn" w:hAnsi="Tms Rmn" w:cs="Tms Rmn"/>
          <w:color w:val="000000"/>
        </w:rPr>
        <w:t>einhver sem starfar á ábyrgð hans taki slíkar ákvarðanir. Einnig getur þurft að meta hvort setja þurfi reglur sem leiðbeina við ákvarðanatöku í þeim tilgangi að draga úr þörf á sjálfstæðu mati.</w:t>
      </w:r>
    </w:p>
    <w:p w:rsidR="00000000" w:rsidRDefault="005C4F38">
      <w:pPr>
        <w:spacing w:line="240" w:lineRule="atLeast"/>
        <w:ind w:left="357" w:firstLine="567"/>
        <w:jc w:val="both"/>
        <w:rPr>
          <w:rFonts w:ascii="Tms Rmn" w:hAnsi="Tms Rmn" w:cs="Tms Rmn"/>
          <w:color w:val="000000"/>
        </w:rPr>
      </w:pP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center"/>
        <w:rPr>
          <w:rFonts w:ascii="Tms Rmn" w:hAnsi="Tms Rmn" w:cs="Tms Rmn"/>
          <w:b/>
          <w:i/>
          <w:color w:val="000000"/>
        </w:rPr>
      </w:pPr>
      <w:r>
        <w:rPr>
          <w:rFonts w:ascii="Tms Rmn" w:hAnsi="Tms Rmn" w:cs="Tms Rmn"/>
          <w:b/>
          <w:i/>
          <w:color w:val="000000"/>
        </w:rPr>
        <w:t>Samningsgögn.</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Í flestum tilvikum gilda ákveðin lög og reglur sem verksali þarf að fylgja og vísa þarf til í samningnum. Til þess sjálfur samningurinn verði tiltölulega stuttur og geymi öll aðalatriði getur verið viðeigandi að telja þessi gögn upp í sérstakri grein. Dæmi um þetta eru: </w:t>
      </w:r>
    </w:p>
    <w:p w:rsidR="00000000" w:rsidRDefault="005C4F38">
      <w:pPr>
        <w:spacing w:line="240" w:lineRule="atLeast"/>
        <w:ind w:left="1350"/>
        <w:rPr>
          <w:rFonts w:ascii="Tms Rmn" w:hAnsi="Tms Rmn" w:cs="Tms Rmn"/>
          <w:color w:val="000000"/>
        </w:rPr>
      </w:pPr>
      <w:r>
        <w:rPr>
          <w:rFonts w:ascii="Tms Rmn" w:hAnsi="Tms Rmn" w:cs="Tms Rmn"/>
          <w:color w:val="000000"/>
        </w:rPr>
        <w:t>Sérlög og reglugerð um ve</w:t>
      </w:r>
      <w:r>
        <w:rPr>
          <w:rFonts w:ascii="Tms Rmn" w:hAnsi="Tms Rmn" w:cs="Tms Rmn"/>
          <w:color w:val="000000"/>
        </w:rPr>
        <w:t>rkefnið.</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Lög um fjárreiður ríkissjóðs nr. 88/1997. Vakin er athygli á greinum 3, 20 og 30. </w:t>
      </w:r>
    </w:p>
    <w:p w:rsidR="00000000" w:rsidRDefault="005C4F38">
      <w:pPr>
        <w:spacing w:line="240" w:lineRule="atLeast"/>
        <w:ind w:left="1350"/>
        <w:rPr>
          <w:rFonts w:ascii="Tms Rmn" w:hAnsi="Tms Rmn" w:cs="Tms Rmn"/>
          <w:color w:val="000000"/>
        </w:rPr>
      </w:pPr>
      <w:r>
        <w:rPr>
          <w:rFonts w:ascii="Tms Rmn" w:hAnsi="Tms Rmn" w:cs="Tms Rmn"/>
          <w:color w:val="000000"/>
        </w:rPr>
        <w:t>Lög um Ríkisendurskoðun nr. 86/1997. Vakin er athygli á greinum 6 og 9.</w:t>
      </w:r>
    </w:p>
    <w:p w:rsidR="00000000" w:rsidRDefault="005C4F38">
      <w:pPr>
        <w:spacing w:line="240" w:lineRule="atLeast"/>
        <w:ind w:left="1350"/>
        <w:rPr>
          <w:rFonts w:ascii="Tms Rmn" w:hAnsi="Tms Rmn" w:cs="Tms Rmn"/>
          <w:color w:val="000000"/>
        </w:rPr>
      </w:pPr>
      <w:r>
        <w:rPr>
          <w:rFonts w:ascii="Tms Rmn" w:hAnsi="Tms Rmn" w:cs="Tms Rmn"/>
          <w:color w:val="000000"/>
        </w:rPr>
        <w:t>Verklagsreglur eða lýsing á kröfum vegna verksins.</w:t>
      </w:r>
    </w:p>
    <w:p w:rsidR="00000000" w:rsidRDefault="005C4F38">
      <w:pPr>
        <w:spacing w:line="240" w:lineRule="atLeast"/>
        <w:ind w:left="1350"/>
        <w:rPr>
          <w:rFonts w:ascii="Tms Rmn" w:hAnsi="Tms Rmn" w:cs="Tms Rmn"/>
          <w:color w:val="000000"/>
        </w:rPr>
      </w:pPr>
      <w:r>
        <w:rPr>
          <w:rFonts w:ascii="Tms Rmn" w:hAnsi="Tms Rmn" w:cs="Tms Rmn"/>
          <w:color w:val="000000"/>
        </w:rPr>
        <w:t>Kostnaðaráætlun og lýsing verkþátta.</w:t>
      </w:r>
    </w:p>
    <w:p w:rsidR="00000000" w:rsidRDefault="005C4F38">
      <w:pPr>
        <w:spacing w:line="240" w:lineRule="atLeast"/>
        <w:ind w:left="1350"/>
        <w:rPr>
          <w:rFonts w:ascii="Tms Rmn" w:hAnsi="Tms Rmn" w:cs="Tms Rmn"/>
          <w:color w:val="000000"/>
        </w:rPr>
      </w:pPr>
      <w:r>
        <w:rPr>
          <w:rFonts w:ascii="Tms Rmn" w:hAnsi="Tms Rmn" w:cs="Tms Rmn"/>
          <w:color w:val="000000"/>
        </w:rPr>
        <w:t>Tímaáætlun.</w:t>
      </w:r>
    </w:p>
    <w:p w:rsidR="00000000" w:rsidRDefault="005C4F38">
      <w:pPr>
        <w:spacing w:line="240" w:lineRule="atLeast"/>
        <w:ind w:left="1350"/>
        <w:rPr>
          <w:rFonts w:ascii="Tms Rmn" w:hAnsi="Tms Rmn" w:cs="Tms Rmn"/>
          <w:color w:val="000000"/>
        </w:rPr>
      </w:pPr>
      <w:r>
        <w:rPr>
          <w:rFonts w:ascii="Tms Rmn" w:hAnsi="Tms Rmn" w:cs="Tms Rmn"/>
          <w:color w:val="000000"/>
        </w:rPr>
        <w:t>Skipurit fyrir verkefnið.</w:t>
      </w:r>
    </w:p>
    <w:p w:rsidR="00000000" w:rsidRDefault="005C4F38">
      <w:pPr>
        <w:spacing w:line="240" w:lineRule="atLeast"/>
        <w:ind w:left="1350"/>
        <w:rPr>
          <w:rFonts w:ascii="Tms Rmn" w:hAnsi="Tms Rmn" w:cs="Tms Rmn"/>
          <w:color w:val="000000"/>
        </w:rPr>
      </w:pPr>
      <w:r>
        <w:rPr>
          <w:rFonts w:ascii="Tms Rmn" w:hAnsi="Tms Rmn" w:cs="Tms Rmn"/>
          <w:color w:val="000000"/>
        </w:rPr>
        <w:t>Staðall sem fylgt er við framkvæmd verkefnisins.</w:t>
      </w:r>
    </w:p>
    <w:p w:rsidR="00000000" w:rsidRDefault="005C4F38">
      <w:pPr>
        <w:spacing w:line="240" w:lineRule="atLeast"/>
        <w:ind w:left="1350"/>
        <w:rPr>
          <w:rFonts w:ascii="Tms Rmn" w:hAnsi="Tms Rmn" w:cs="Tms Rmn"/>
          <w:color w:val="000000"/>
        </w:rPr>
      </w:pPr>
      <w:r>
        <w:rPr>
          <w:rFonts w:ascii="Tms Rmn" w:hAnsi="Tms Rmn" w:cs="Tms Rmn"/>
          <w:color w:val="000000"/>
        </w:rPr>
        <w:t>Útboðslýsing.</w:t>
      </w:r>
    </w:p>
    <w:p w:rsidR="00000000" w:rsidRDefault="005C4F38">
      <w:pPr>
        <w:spacing w:line="240" w:lineRule="atLeast"/>
        <w:ind w:left="1350"/>
        <w:rPr>
          <w:rFonts w:ascii="Tms Rmn" w:hAnsi="Tms Rmn" w:cs="Tms Rmn"/>
          <w:color w:val="000000"/>
        </w:rPr>
      </w:pPr>
      <w:r>
        <w:rPr>
          <w:rFonts w:ascii="Tms Rmn" w:hAnsi="Tms Rmn" w:cs="Tms Rmn"/>
          <w:color w:val="000000"/>
        </w:rPr>
        <w:t>Tilboð verksala.</w:t>
      </w:r>
    </w:p>
    <w:p w:rsidR="00000000" w:rsidRDefault="005C4F38">
      <w:pPr>
        <w:spacing w:line="240" w:lineRule="atLeast"/>
        <w:ind w:left="1350"/>
        <w:rPr>
          <w:rFonts w:ascii="Tms Rmn" w:hAnsi="Tms Rmn" w:cs="Tms Rmn"/>
          <w:color w:val="000000"/>
        </w:rPr>
      </w:pPr>
      <w:r>
        <w:rPr>
          <w:rFonts w:ascii="Tms Rmn" w:hAnsi="Tms Rmn" w:cs="Tms Rmn"/>
          <w:color w:val="000000"/>
        </w:rPr>
        <w:t>Svör verkkaupa við fyrirspurn bjóðenda ef verkefnið var boðið út.</w:t>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center"/>
        <w:rPr>
          <w:rFonts w:ascii="Tms Rmn" w:hAnsi="Tms Rmn" w:cs="Tms Rmn"/>
          <w:b/>
          <w:i/>
          <w:color w:val="000000"/>
        </w:rPr>
      </w:pPr>
      <w:r>
        <w:rPr>
          <w:rFonts w:ascii="Tms Rmn" w:hAnsi="Tms Rmn" w:cs="Tms Rmn"/>
          <w:b/>
          <w:i/>
          <w:color w:val="000000"/>
        </w:rPr>
        <w:t>Gögn, aðstaða, efni og annað sem verkkaupi leggur til.</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lastRenderedPageBreak/>
        <w:t>Í þei</w:t>
      </w:r>
      <w:r>
        <w:rPr>
          <w:rFonts w:ascii="Tms Rmn" w:hAnsi="Tms Rmn" w:cs="Tms Rmn"/>
          <w:color w:val="000000"/>
        </w:rPr>
        <w:t>m tilvikum sem verkkaupi leggur eitthvað til verkefnisins annað en að greiða kostnað þarf að tilgreina hvað er um að ræða og hver útvegar viðbætur eða endurnýjar/viðheldur því sem verksali leggur til. Dæmi um þetta er:</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Húsnæði. </w:t>
      </w:r>
    </w:p>
    <w:p w:rsidR="00000000" w:rsidRDefault="005C4F38">
      <w:pPr>
        <w:spacing w:line="240" w:lineRule="atLeast"/>
        <w:ind w:left="1350"/>
        <w:rPr>
          <w:rFonts w:ascii="Tms Rmn" w:hAnsi="Tms Rmn" w:cs="Tms Rmn"/>
          <w:color w:val="000000"/>
        </w:rPr>
      </w:pPr>
      <w:r>
        <w:rPr>
          <w:rFonts w:ascii="Tms Rmn" w:hAnsi="Tms Rmn" w:cs="Tms Rmn"/>
          <w:color w:val="000000"/>
        </w:rPr>
        <w:t>Tæki.</w:t>
      </w:r>
    </w:p>
    <w:p w:rsidR="00000000" w:rsidRDefault="005C4F38">
      <w:pPr>
        <w:spacing w:line="240" w:lineRule="atLeast"/>
        <w:ind w:left="1350"/>
        <w:rPr>
          <w:rFonts w:ascii="Tms Rmn" w:hAnsi="Tms Rmn" w:cs="Tms Rmn"/>
          <w:color w:val="000000"/>
        </w:rPr>
      </w:pPr>
      <w:r>
        <w:rPr>
          <w:rFonts w:ascii="Tms Rmn" w:hAnsi="Tms Rmn" w:cs="Tms Rmn"/>
          <w:color w:val="000000"/>
        </w:rPr>
        <w:t>Efni, þ.m.t. eyðublöð og kynningarefni.</w:t>
      </w:r>
    </w:p>
    <w:p w:rsidR="00000000" w:rsidRDefault="005C4F38">
      <w:pPr>
        <w:spacing w:line="240" w:lineRule="atLeast"/>
        <w:ind w:left="1350"/>
        <w:rPr>
          <w:rFonts w:ascii="Tms Rmn" w:hAnsi="Tms Rmn" w:cs="Tms Rmn"/>
          <w:color w:val="000000"/>
        </w:rPr>
      </w:pPr>
      <w:r>
        <w:rPr>
          <w:rFonts w:ascii="Tms Rmn" w:hAnsi="Tms Rmn" w:cs="Tms Rmn"/>
          <w:color w:val="000000"/>
        </w:rPr>
        <w:t>Leiðbeiningar og fagleg ráðgjöf.</w:t>
      </w:r>
    </w:p>
    <w:p w:rsidR="00000000" w:rsidRDefault="005C4F38">
      <w:pPr>
        <w:spacing w:line="240" w:lineRule="atLeast"/>
        <w:ind w:left="1350"/>
        <w:rPr>
          <w:rFonts w:ascii="Tms Rmn" w:hAnsi="Tms Rmn" w:cs="Tms Rmn"/>
          <w:color w:val="000000"/>
        </w:rPr>
      </w:pPr>
      <w:r>
        <w:rPr>
          <w:rFonts w:ascii="Tms Rmn" w:hAnsi="Tms Rmn" w:cs="Tms Rmn"/>
          <w:color w:val="000000"/>
        </w:rPr>
        <w:t>Greiðsla á ákveðnum kostnaðarliðum.</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Leggi verkkaupi fram húsnæði og dýr tæki er rétt að gera leigusamning til að sýna heildarkostnað við verkefnið.</w:t>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center"/>
        <w:rPr>
          <w:rFonts w:ascii="Tms Rmn" w:hAnsi="Tms Rmn" w:cs="Tms Rmn"/>
          <w:b/>
          <w:i/>
          <w:color w:val="000000"/>
        </w:rPr>
      </w:pPr>
      <w:r>
        <w:rPr>
          <w:rFonts w:ascii="Tms Rmn" w:hAnsi="Tms Rmn" w:cs="Tms Rmn"/>
          <w:b/>
          <w:i/>
          <w:color w:val="000000"/>
        </w:rPr>
        <w:t>Undirverktakar.</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Almennt ætti að gera ráð fyrir</w:t>
      </w:r>
      <w:r>
        <w:rPr>
          <w:rFonts w:ascii="Tms Rmn" w:hAnsi="Tms Rmn" w:cs="Tms Rmn"/>
          <w:color w:val="000000"/>
        </w:rPr>
        <w:t xml:space="preserve"> að </w:t>
      </w:r>
      <w:r>
        <w:rPr>
          <w:rFonts w:ascii="Tms Rmn" w:hAnsi="Tms Rmn" w:cs="Tms Rmn"/>
          <w:b/>
          <w:color w:val="000000"/>
        </w:rPr>
        <w:t>verksali hafi frjálsar hendur</w:t>
      </w:r>
      <w:r>
        <w:rPr>
          <w:rFonts w:ascii="Tms Rmn" w:hAnsi="Tms Rmn" w:cs="Tms Rmn"/>
          <w:color w:val="000000"/>
        </w:rPr>
        <w:t xml:space="preserve"> til að kaupa þjónustu af undirverktökum og taka fram í samningnum að verksali ber alla ábyrgð á verkinu m.a. þeim hluta sem unninn er af undirverktökum og að honum er óheimilt að gera minni kröfur til undirverktaka en gerðar eru til hans í samningnum. Sé talin ástæða til að takmarka þetta svigrúm verskalans þarf slíkt að koma fram í samningi. Í slíkum tilvikum mætti t.d. gera kröfu um að verkkaupi samþykki undirverktaka, en það getur falið í sér að verksali álíti að ábyrgð </w:t>
      </w:r>
      <w:r>
        <w:rPr>
          <w:rFonts w:ascii="Tms Rmn" w:hAnsi="Tms Rmn" w:cs="Tms Rmn"/>
          <w:color w:val="000000"/>
        </w:rPr>
        <w:t xml:space="preserve">hans á verkefninu minnki.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Í samningi þarf að taka fram að </w:t>
      </w:r>
      <w:r>
        <w:rPr>
          <w:rFonts w:ascii="Tms Rmn" w:hAnsi="Tms Rmn" w:cs="Tms Rmn"/>
          <w:b/>
          <w:color w:val="000000"/>
        </w:rPr>
        <w:t>gerviverktaka er óheimil</w:t>
      </w:r>
      <w:r>
        <w:rPr>
          <w:rFonts w:ascii="Tms Rmn" w:hAnsi="Tms Rmn" w:cs="Tms Rmn"/>
          <w:color w:val="000000"/>
        </w:rPr>
        <w:t xml:space="preserve"> í samræmi við 47. gr. reglugerðar um innkaup ríkisins. Reglugerðarákvæðið hljóðar þannig: Verktaka eða undirverktökum er óheimilt að gera samningi um undirverktöku við einstaka starfsmenn eða starfshópa í þeim tilvikum þar sem um ráðningarsamband er að ræða og það á við samkvæmt venju og eðli máls”</w:t>
      </w:r>
    </w:p>
    <w:p w:rsidR="00000000" w:rsidRDefault="005C4F38">
      <w:pPr>
        <w:spacing w:line="360" w:lineRule="atLeast"/>
        <w:ind w:left="357"/>
        <w:jc w:val="both"/>
        <w:rPr>
          <w:rFonts w:ascii="Tms Rmn" w:hAnsi="Tms Rmn" w:cs="Tms Rmn"/>
          <w:color w:val="000000"/>
        </w:rPr>
      </w:pPr>
    </w:p>
    <w:p w:rsidR="00000000" w:rsidRDefault="005C4F38">
      <w:pPr>
        <w:spacing w:line="240" w:lineRule="atLeast"/>
        <w:ind w:left="357"/>
        <w:jc w:val="center"/>
        <w:rPr>
          <w:rFonts w:ascii="Tms Rmn" w:hAnsi="Tms Rmn" w:cs="Tms Rmn"/>
          <w:b/>
          <w:i/>
          <w:color w:val="000000"/>
        </w:rPr>
      </w:pPr>
      <w:r>
        <w:rPr>
          <w:rFonts w:ascii="Tms Rmn" w:hAnsi="Tms Rmn" w:cs="Tms Rmn"/>
          <w:b/>
          <w:i/>
          <w:color w:val="000000"/>
        </w:rPr>
        <w:t>Heildarkostnaður.</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Í þessum leiðbeiningum er gerður greinarmunur á áætluðum  </w:t>
      </w:r>
      <w:r>
        <w:rPr>
          <w:rFonts w:ascii="Tms Rmn" w:hAnsi="Tms Rmn" w:cs="Tms Rmn"/>
          <w:b/>
          <w:color w:val="000000"/>
        </w:rPr>
        <w:t>heildarkostnaði</w:t>
      </w:r>
      <w:r>
        <w:rPr>
          <w:rFonts w:ascii="Tms Rmn" w:hAnsi="Tms Rmn" w:cs="Tms Rmn"/>
          <w:color w:val="000000"/>
        </w:rPr>
        <w:t xml:space="preserve"> við verkefnið og því hvernig þa</w:t>
      </w:r>
      <w:r>
        <w:rPr>
          <w:rFonts w:ascii="Tms Rmn" w:hAnsi="Tms Rmn" w:cs="Tms Rmn"/>
          <w:color w:val="000000"/>
        </w:rPr>
        <w:t xml:space="preserve">ð er </w:t>
      </w:r>
      <w:r>
        <w:rPr>
          <w:rFonts w:ascii="Tms Rmn" w:hAnsi="Tms Rmn" w:cs="Tms Rmn"/>
          <w:b/>
          <w:color w:val="000000"/>
        </w:rPr>
        <w:t>fjármagnað</w:t>
      </w:r>
      <w:r>
        <w:rPr>
          <w:rFonts w:ascii="Tms Rmn" w:hAnsi="Tms Rmn" w:cs="Tms Rmn"/>
          <w:color w:val="000000"/>
        </w:rPr>
        <w:t>, m.a. með greiðslum verkkaupa, í samræmi við framvindu þess. Þetta er gert til samræmis við lög um fjárreiður ríkisins.</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Einn aðal tilgangurinn með því að gera ítarlega samninga um rekstarverkefni er að </w:t>
      </w:r>
      <w:r>
        <w:rPr>
          <w:rFonts w:ascii="Tms Rmn" w:hAnsi="Tms Rmn" w:cs="Tms Rmn"/>
          <w:b/>
          <w:color w:val="000000"/>
        </w:rPr>
        <w:t>afmarka ábyrgð og skyldur samningsaðila</w:t>
      </w:r>
      <w:r>
        <w:rPr>
          <w:rFonts w:ascii="Tms Rmn" w:hAnsi="Tms Rmn" w:cs="Tms Rmn"/>
          <w:color w:val="000000"/>
        </w:rPr>
        <w:t xml:space="preserve">. Samningagerðinni þarf að haga þannig að </w:t>
      </w:r>
      <w:r>
        <w:rPr>
          <w:rFonts w:ascii="Tms Rmn" w:hAnsi="Tms Rmn" w:cs="Tms Rmn"/>
          <w:b/>
          <w:color w:val="000000"/>
        </w:rPr>
        <w:t>ríkissjóður beri ekki rekstrarlega ábyrgð</w:t>
      </w:r>
      <w:r>
        <w:rPr>
          <w:rFonts w:ascii="Tms Rmn" w:hAnsi="Tms Rmn" w:cs="Tms Rmn"/>
          <w:color w:val="000000"/>
        </w:rPr>
        <w:t xml:space="preserve"> á starfsemi verksala, heldur einungis á því að greiða þær fjárhæðir sem samið er um. Þetta felur t.d. í sér að verksali gerir upp við lífeyrissjóði.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Tilgreina ætti í sa</w:t>
      </w:r>
      <w:r>
        <w:rPr>
          <w:rFonts w:ascii="Tms Rmn" w:hAnsi="Tms Rmn" w:cs="Tms Rmn"/>
          <w:color w:val="000000"/>
        </w:rPr>
        <w:t>mningnum áætlaðan heildarkostnað á samningstíma, en sundurliðun og forsendur gætu verið í fylgiskjali eftir því sem á við. Þegar um útboð er að ræða ætti fylgiskjalið að vera unnið af verksala og vera hluti tilboðs hans.</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Í þeim tilvikum sem er samið um </w:t>
      </w:r>
      <w:r>
        <w:rPr>
          <w:rFonts w:ascii="Tms Rmn" w:hAnsi="Tms Rmn" w:cs="Tms Rmn"/>
          <w:b/>
          <w:color w:val="000000"/>
        </w:rPr>
        <w:t>heildarkostnað</w:t>
      </w:r>
      <w:r>
        <w:rPr>
          <w:rFonts w:ascii="Tms Rmn" w:hAnsi="Tms Rmn" w:cs="Tms Rmn"/>
          <w:color w:val="000000"/>
        </w:rPr>
        <w:t xml:space="preserve"> við verkefnið þarf að tilgreina í hvaða heimildir verkkaupi hefur til að skerða greiðslur ef verksali uppfyllir ekki samningsskyldur sínar, t.d. um að ná ákveðnum markmiðum. Verkið kann að tefjast eða þjónusta að skerðast bæði vegna aðgerða ve</w:t>
      </w:r>
      <w:r>
        <w:rPr>
          <w:rFonts w:ascii="Tms Rmn" w:hAnsi="Tms Rmn" w:cs="Tms Rmn"/>
          <w:color w:val="000000"/>
        </w:rPr>
        <w:t>rksala og af öðrum sökum s.s. vegna verkfalla og þarf að vera heimilt að bregðast við því. Sé gert ráð fyrir heimild til að skerða greiðslur kann einnig að vera rétt að gera ráð fyrir því að verkkaupi þurfi að taka tillit til kröfu verksala um að fá greiddan kostnaðarauka vegna tímabundins álags við að vinna upp mál sem frestuðust.</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Þar sem því sem er unnt og viðeigandi ætti að leggja ákveðin </w:t>
      </w:r>
      <w:r>
        <w:rPr>
          <w:rFonts w:ascii="Tms Rmn" w:hAnsi="Tms Rmn" w:cs="Tms Rmn"/>
          <w:b/>
          <w:color w:val="000000"/>
        </w:rPr>
        <w:t>einingarverð</w:t>
      </w:r>
      <w:r>
        <w:rPr>
          <w:rFonts w:ascii="Tms Rmn" w:hAnsi="Tms Rmn" w:cs="Tms Rmn"/>
          <w:color w:val="000000"/>
        </w:rPr>
        <w:t xml:space="preserve"> og einingafjölda til grundvallar kostnaðarútreikningi, enda verður þá eftirlit með samningnum væntanleg</w:t>
      </w:r>
      <w:r>
        <w:rPr>
          <w:rFonts w:ascii="Tms Rmn" w:hAnsi="Tms Rmn" w:cs="Tms Rmn"/>
          <w:color w:val="000000"/>
        </w:rPr>
        <w:t>a einfaldara og ódýrara. Í þessum tilvikum getur komið upp spurning um magnafslátt.</w:t>
      </w:r>
    </w:p>
    <w:p w:rsidR="00000000" w:rsidRDefault="005C4F38">
      <w:pPr>
        <w:spacing w:line="240" w:lineRule="atLeast"/>
        <w:ind w:left="1350"/>
        <w:rPr>
          <w:rFonts w:ascii="Tms Rmn" w:hAnsi="Tms Rmn" w:cs="Tms Rmn"/>
          <w:color w:val="000000"/>
        </w:rPr>
      </w:pPr>
      <w:r>
        <w:rPr>
          <w:rFonts w:ascii="Tms Rmn" w:hAnsi="Tms Rmn" w:cs="Tms Rmn"/>
          <w:color w:val="000000"/>
        </w:rPr>
        <w:lastRenderedPageBreak/>
        <w:t xml:space="preserve">Í sumum tilvikum getur verið ákjósanlegt að greiðslur ráðist af því hve vel verksala tekst að ná </w:t>
      </w:r>
      <w:r>
        <w:rPr>
          <w:rFonts w:ascii="Tms Rmn" w:hAnsi="Tms Rmn" w:cs="Tms Rmn"/>
          <w:b/>
          <w:color w:val="000000"/>
        </w:rPr>
        <w:t>markmiðum</w:t>
      </w:r>
      <w:r>
        <w:rPr>
          <w:rFonts w:ascii="Tms Rmn" w:hAnsi="Tms Rmn" w:cs="Tms Rmn"/>
          <w:color w:val="000000"/>
        </w:rPr>
        <w:t xml:space="preserve"> sem tilgreind eru í samningnum.</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Sé þjónustan sem samið er um skattskyld skv. lögum um </w:t>
      </w:r>
      <w:r>
        <w:rPr>
          <w:rFonts w:ascii="Tms Rmn" w:hAnsi="Tms Rmn" w:cs="Tms Rmn"/>
          <w:b/>
          <w:color w:val="000000"/>
        </w:rPr>
        <w:t>virðisaukaskatt</w:t>
      </w:r>
      <w:r>
        <w:rPr>
          <w:rFonts w:ascii="Tms Rmn" w:hAnsi="Tms Rmn" w:cs="Tms Rmn"/>
          <w:color w:val="000000"/>
        </w:rPr>
        <w:t xml:space="preserve"> þarf að taka fram hvort fjárhæðir eru með eða án skatts. </w:t>
      </w:r>
    </w:p>
    <w:p w:rsidR="00000000" w:rsidRDefault="005C4F38">
      <w:pPr>
        <w:spacing w:line="240" w:lineRule="atLeast"/>
        <w:ind w:left="357"/>
        <w:jc w:val="both"/>
        <w:rPr>
          <w:rFonts w:ascii="Tms Rmn" w:hAnsi="Tms Rmn" w:cs="Tms Rmn"/>
          <w:color w:val="000000"/>
        </w:rPr>
      </w:pPr>
      <w:r>
        <w:rPr>
          <w:rFonts w:ascii="Tms Rmn" w:hAnsi="Tms Rmn" w:cs="Tms Rmn"/>
          <w:color w:val="000000"/>
        </w:rPr>
        <w:t xml:space="preserve"> </w:t>
      </w:r>
      <w:r>
        <w:rPr>
          <w:rFonts w:ascii="Tms Rmn" w:hAnsi="Tms Rmn" w:cs="Tms Rmn"/>
          <w:color w:val="000000"/>
        </w:rPr>
        <w:tab/>
      </w:r>
      <w:r>
        <w:rPr>
          <w:rFonts w:ascii="Tms Rmn" w:hAnsi="Tms Rmn" w:cs="Tms Rmn"/>
          <w:b/>
          <w:color w:val="000000"/>
        </w:rPr>
        <w:t>Forsendur</w:t>
      </w:r>
      <w:r>
        <w:rPr>
          <w:rFonts w:ascii="Tms Rmn" w:hAnsi="Tms Rmn" w:cs="Tms Rmn"/>
          <w:color w:val="000000"/>
        </w:rPr>
        <w:t xml:space="preserve"> verks geta breyst á samningstímanum, sérstaklega þegar hann er langur. Í samningnum þarf að ákveða hvernig brugðist er við þessu. Í samningum og s</w:t>
      </w:r>
      <w:r>
        <w:rPr>
          <w:rFonts w:ascii="Tms Rmn" w:hAnsi="Tms Rmn" w:cs="Tms Rmn"/>
          <w:color w:val="000000"/>
        </w:rPr>
        <w:t>töðlum um framkvæmdir gildir almennt sú regla að verkkaupi hefur rétt til að breyta verkinu svo framarlega sem hann greiðir kostnaðarauka sem af því leiðir.</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Sé verksala ætlað að vinna </w:t>
      </w:r>
      <w:r>
        <w:rPr>
          <w:rFonts w:ascii="Tms Rmn" w:hAnsi="Tms Rmn" w:cs="Tms Rmn"/>
          <w:b/>
          <w:color w:val="000000"/>
        </w:rPr>
        <w:t>aukaverk</w:t>
      </w:r>
      <w:r>
        <w:rPr>
          <w:rFonts w:ascii="Tms Rmn" w:hAnsi="Tms Rmn" w:cs="Tms Rmn"/>
          <w:color w:val="000000"/>
        </w:rPr>
        <w:t xml:space="preserve"> gegn greiðslu er rétt að miða við að um þau verði samið sérstaklega fyrirfram.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Í samningi þarf að koma fram hvort og hvernig fjárhæðir breytast, t.d:</w:t>
      </w:r>
    </w:p>
    <w:p w:rsidR="00000000" w:rsidRDefault="005C4F38">
      <w:pPr>
        <w:spacing w:line="240" w:lineRule="atLeast"/>
        <w:ind w:left="1440"/>
        <w:rPr>
          <w:rFonts w:ascii="Tms Rmn" w:hAnsi="Tms Rmn" w:cs="Tms Rmn"/>
          <w:color w:val="000000"/>
        </w:rPr>
      </w:pPr>
      <w:r>
        <w:rPr>
          <w:rFonts w:ascii="Tms Rmn" w:hAnsi="Tms Rmn" w:cs="Tms Rmn"/>
          <w:color w:val="000000"/>
        </w:rPr>
        <w:t>Haldast óbreyttar.</w:t>
      </w:r>
    </w:p>
    <w:p w:rsidR="00000000" w:rsidRDefault="005C4F38">
      <w:pPr>
        <w:spacing w:line="240" w:lineRule="atLeast"/>
        <w:ind w:left="1440"/>
        <w:rPr>
          <w:rFonts w:ascii="Tms Rmn" w:hAnsi="Tms Rmn" w:cs="Tms Rmn"/>
          <w:color w:val="000000"/>
        </w:rPr>
      </w:pPr>
      <w:r>
        <w:rPr>
          <w:rFonts w:ascii="Tms Rmn" w:hAnsi="Tms Rmn" w:cs="Tms Rmn"/>
          <w:color w:val="000000"/>
        </w:rPr>
        <w:t>Breytast samkvæmt neysluvöruverðsvísitölu.</w:t>
      </w:r>
    </w:p>
    <w:p w:rsidR="00000000" w:rsidRDefault="005C4F38">
      <w:pPr>
        <w:spacing w:line="240" w:lineRule="atLeast"/>
        <w:ind w:left="1440"/>
        <w:rPr>
          <w:rFonts w:ascii="Tms Rmn" w:hAnsi="Tms Rmn" w:cs="Tms Rmn"/>
          <w:color w:val="000000"/>
        </w:rPr>
      </w:pPr>
      <w:r>
        <w:rPr>
          <w:rFonts w:ascii="Tms Rmn" w:hAnsi="Tms Rmn" w:cs="Tms Rmn"/>
          <w:color w:val="000000"/>
        </w:rPr>
        <w:t>Breytast samkvæmt verðlagsforsendum fjárlaga hverju sinni miðað við að ákveðið hlutfall séu launagjöl</w:t>
      </w:r>
      <w:r>
        <w:rPr>
          <w:rFonts w:ascii="Tms Rmn" w:hAnsi="Tms Rmn" w:cs="Tms Rmn"/>
          <w:color w:val="000000"/>
        </w:rPr>
        <w:t>d en mismunurinn önnur gjöld.</w:t>
      </w:r>
    </w:p>
    <w:p w:rsidR="00000000" w:rsidRDefault="005C4F38">
      <w:pPr>
        <w:spacing w:line="240" w:lineRule="atLeast"/>
        <w:ind w:left="1440"/>
        <w:rPr>
          <w:rFonts w:ascii="Tms Rmn" w:hAnsi="Tms Rmn" w:cs="Tms Rmn"/>
          <w:color w:val="000000"/>
        </w:rPr>
      </w:pPr>
      <w:r>
        <w:rPr>
          <w:rFonts w:ascii="Tms Rmn" w:hAnsi="Tms Rmn" w:cs="Tms Rmn"/>
          <w:color w:val="000000"/>
        </w:rPr>
        <w:t>Breytast í samræmi við almennar breytingar á fjárveitingum í fjárlögum til sambærilegra ríkisstofnana.</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Ef fjárhæðir breytast þarf að tilgreina við hvað er miðað þegar samningurinn er gerður.</w:t>
      </w:r>
    </w:p>
    <w:p w:rsidR="00000000" w:rsidRDefault="005C4F38">
      <w:pPr>
        <w:spacing w:line="360" w:lineRule="atLeast"/>
        <w:ind w:left="357"/>
        <w:jc w:val="center"/>
        <w:rPr>
          <w:rFonts w:ascii="Tms Rmn" w:hAnsi="Tms Rmn" w:cs="Tms Rmn"/>
          <w:color w:val="000000"/>
        </w:rPr>
      </w:pPr>
    </w:p>
    <w:p w:rsidR="00000000" w:rsidRDefault="005C4F38">
      <w:pPr>
        <w:spacing w:line="240" w:lineRule="atLeast"/>
        <w:ind w:left="357"/>
        <w:jc w:val="center"/>
        <w:rPr>
          <w:rFonts w:ascii="Tms Rmn" w:hAnsi="Tms Rmn" w:cs="Tms Rmn"/>
          <w:b/>
          <w:i/>
          <w:color w:val="000000"/>
        </w:rPr>
      </w:pPr>
      <w:r>
        <w:rPr>
          <w:rFonts w:ascii="Tms Rmn" w:hAnsi="Tms Rmn" w:cs="Tms Rmn"/>
          <w:b/>
          <w:i/>
          <w:color w:val="000000"/>
        </w:rPr>
        <w:t>Greiðslur.</w:t>
      </w:r>
    </w:p>
    <w:p w:rsidR="00000000" w:rsidRDefault="005C4F38">
      <w:pPr>
        <w:spacing w:line="240" w:lineRule="atLeast"/>
        <w:ind w:left="357"/>
        <w:jc w:val="both"/>
        <w:rPr>
          <w:rFonts w:ascii="Tms Rmn" w:hAnsi="Tms Rmn" w:cs="Tms Rmn"/>
          <w:color w:val="000000"/>
        </w:rPr>
      </w:pPr>
      <w:r>
        <w:rPr>
          <w:rFonts w:ascii="Tms Rmn" w:hAnsi="Tms Rmn" w:cs="Tms Rmn"/>
          <w:color w:val="000000"/>
        </w:rPr>
        <w:t xml:space="preserve">Í samningi þarf að lýsa greiðslufyrirkomulagi, tilgreina greiðsludaga og hvert greiðsla skuli send. Þá kemur m.a. eftirfarandi til álita: </w:t>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b/>
          <w:color w:val="000000"/>
        </w:rPr>
      </w:pPr>
      <w:r>
        <w:rPr>
          <w:rFonts w:ascii="Tms Rmn" w:hAnsi="Tms Rmn" w:cs="Tms Rmn"/>
          <w:b/>
          <w:color w:val="000000"/>
        </w:rPr>
        <w:t>Greitt samkvæmt reikningi.</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Sé greitt </w:t>
      </w:r>
      <w:r>
        <w:rPr>
          <w:rFonts w:ascii="Tms Rmn" w:hAnsi="Tms Rmn" w:cs="Tms Rmn"/>
          <w:b/>
          <w:color w:val="000000"/>
        </w:rPr>
        <w:t>samkvæmt reikningi</w:t>
      </w:r>
      <w:r>
        <w:rPr>
          <w:rFonts w:ascii="Tms Rmn" w:hAnsi="Tms Rmn" w:cs="Tms Rmn"/>
          <w:color w:val="000000"/>
        </w:rPr>
        <w:t>, t.d. miðað við framvindu, er rétt að miða við að verksali leggi fram reikn</w:t>
      </w:r>
      <w:r>
        <w:rPr>
          <w:rFonts w:ascii="Tms Rmn" w:hAnsi="Tms Rmn" w:cs="Tms Rmn"/>
          <w:color w:val="000000"/>
        </w:rPr>
        <w:t>inga sína mánaðarlega eftir á. Önnur atriði sem geta átt við í samningi eru t.d:</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Reikningar skulu skrifaðir á verkkaupa og merktir verkefninu. </w:t>
      </w:r>
    </w:p>
    <w:p w:rsidR="00000000" w:rsidRDefault="005C4F38">
      <w:pPr>
        <w:spacing w:line="240" w:lineRule="atLeast"/>
        <w:ind w:left="1350"/>
        <w:rPr>
          <w:rFonts w:ascii="Tms Rmn" w:hAnsi="Tms Rmn" w:cs="Tms Rmn"/>
          <w:color w:val="000000"/>
        </w:rPr>
      </w:pPr>
      <w:r>
        <w:rPr>
          <w:rFonts w:ascii="Tms Rmn" w:hAnsi="Tms Rmn" w:cs="Tms Rmn"/>
          <w:color w:val="000000"/>
        </w:rPr>
        <w:t>Innan hvaða tíma skuli greitt. Verkkaupi þarf að gera ráð fyrir að yfirfara reikninga og hafa ráðrúm til að gera athugasemdir áður en hann greiðir þá.</w:t>
      </w:r>
    </w:p>
    <w:p w:rsidR="00000000" w:rsidRDefault="005C4F38">
      <w:pPr>
        <w:spacing w:line="240" w:lineRule="atLeast"/>
        <w:ind w:left="1350"/>
        <w:rPr>
          <w:rFonts w:ascii="Tms Rmn" w:hAnsi="Tms Rmn" w:cs="Tms Rmn"/>
          <w:color w:val="000000"/>
        </w:rPr>
      </w:pPr>
      <w:r>
        <w:rPr>
          <w:rFonts w:ascii="Tms Rmn" w:hAnsi="Tms Rmn" w:cs="Tms Rmn"/>
          <w:color w:val="000000"/>
        </w:rPr>
        <w:t>Með hverjum reikningi fylgi greinargerð og sundurliðun á því sem hefur verið unnið, t.d. á tímafjölda starfsmanna.</w:t>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b/>
          <w:color w:val="000000"/>
        </w:rPr>
      </w:pPr>
      <w:r>
        <w:rPr>
          <w:rFonts w:ascii="Tms Rmn" w:hAnsi="Tms Rmn" w:cs="Tms Rmn"/>
          <w:b/>
          <w:color w:val="000000"/>
        </w:rPr>
        <w:t>Fastar greiðslur.</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Sé greitt fyrir verkefnið með </w:t>
      </w:r>
      <w:r>
        <w:rPr>
          <w:rFonts w:ascii="Tms Rmn" w:hAnsi="Tms Rmn" w:cs="Tms Rmn"/>
          <w:b/>
          <w:color w:val="000000"/>
        </w:rPr>
        <w:t>föstum greiðslum</w:t>
      </w:r>
      <w:r>
        <w:rPr>
          <w:rFonts w:ascii="Tms Rmn" w:hAnsi="Tms Rmn" w:cs="Tms Rmn"/>
          <w:color w:val="000000"/>
        </w:rPr>
        <w:t xml:space="preserve"> er rétt að miðað við framvindu</w:t>
      </w:r>
      <w:r>
        <w:rPr>
          <w:rFonts w:ascii="Tms Rmn" w:hAnsi="Tms Rmn" w:cs="Tms Rmn"/>
          <w:color w:val="000000"/>
        </w:rPr>
        <w:t xml:space="preserve">, t.d. samkvæmt ákveðinni greiðsluáætlun sem gæti verið í fylgiskjali. Sé þessi háttur hafður á þarf að koma fram í samningnum hvað áætlað er að greiða á hverju ári samningstímans. Í sumum tilvikum þarf að gera ráð fyrir að samningsaðilar geri upp kostnað, t.d. ef einingarfjöldi er áætlaður í samningnum en greiðslur miðast við raunverulegar einingar. Þá þarf að koma fram hvernig </w:t>
      </w:r>
      <w:r>
        <w:rPr>
          <w:rFonts w:ascii="Tms Rmn" w:hAnsi="Tms Rmn" w:cs="Tms Rmn"/>
          <w:b/>
          <w:color w:val="000000"/>
        </w:rPr>
        <w:t>uppgjöri</w:t>
      </w:r>
      <w:r>
        <w:rPr>
          <w:rFonts w:ascii="Tms Rmn" w:hAnsi="Tms Rmn" w:cs="Tms Rmn"/>
          <w:color w:val="000000"/>
        </w:rPr>
        <w:t xml:space="preserve"> skuli háttað, t.d. hvaða gögn þurfi að liggja fyrir og hvenær miðað er við að uppgjör fari fram.</w:t>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b/>
          <w:color w:val="000000"/>
        </w:rPr>
      </w:pPr>
      <w:r>
        <w:rPr>
          <w:rFonts w:ascii="Tms Rmn" w:hAnsi="Tms Rmn" w:cs="Tms Rmn"/>
          <w:b/>
          <w:color w:val="000000"/>
        </w:rPr>
        <w:t>Greiðslur notenda.</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Í</w:t>
      </w:r>
      <w:r>
        <w:rPr>
          <w:rFonts w:ascii="Tms Rmn" w:hAnsi="Tms Rmn" w:cs="Tms Rmn"/>
          <w:color w:val="000000"/>
        </w:rPr>
        <w:t xml:space="preserve"> samningi þarf að koma fram ef verksala er </w:t>
      </w:r>
      <w:r>
        <w:rPr>
          <w:rFonts w:ascii="Tms Rmn" w:hAnsi="Tms Rmn" w:cs="Tms Rmn"/>
          <w:b/>
          <w:color w:val="000000"/>
        </w:rPr>
        <w:t>heimilt eða ætlað að innheimta greiðslur af notendum</w:t>
      </w:r>
      <w:r>
        <w:rPr>
          <w:rFonts w:ascii="Tms Rmn" w:hAnsi="Tms Rmn" w:cs="Tms Rmn"/>
          <w:color w:val="000000"/>
        </w:rPr>
        <w:t xml:space="preserve"> verkefnisins eða þeim sem njóta þjónustu sem hann veitir. Taka þarf fram hvaða gjaldskrá skuli fylgt og á hvaða lagaheimild gjaldtakan er byggð. Þá getur verið ástæða til að kveða á um hvernig skuli farið með tekjurnar, t.d. í bókhaldi. Taka þarf fram ef reikningar og sundurliðun </w:t>
      </w:r>
      <w:r>
        <w:rPr>
          <w:rFonts w:ascii="Tms Rmn" w:hAnsi="Tms Rmn" w:cs="Tms Rmn"/>
          <w:color w:val="000000"/>
        </w:rPr>
        <w:lastRenderedPageBreak/>
        <w:t>þeirra þarf að vera á stöðluðu formi, t.d. að fram komi nafn og kennitala þess sem þáði þjónustuna, dagsetning, tilvísun í gjaldskrá og</w:t>
      </w:r>
      <w:r>
        <w:rPr>
          <w:rFonts w:ascii="Tms Rmn" w:hAnsi="Tms Rmn" w:cs="Tms Rmn"/>
          <w:color w:val="000000"/>
        </w:rPr>
        <w:t xml:space="preserve"> staðfesting notenda. Geri verkkaupi kröfu um að fá hlutdeild í þessum tekjum, t.d. ef tekjurnar eru umfram ákveðna fjárhæð á ári, þarf slíkt að koma fram í samningnum.</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Í þeim tilvikum sem aðgangur að þjónustu sem ríkið kostar er takmarkaður getur þurft að taka á því í samningi hvort verksala er heimilt að bjóða þjónustuna gegn því að notendur kosti hana að fullu. </w:t>
      </w:r>
    </w:p>
    <w:p w:rsidR="00000000" w:rsidRDefault="005C4F38">
      <w:pPr>
        <w:spacing w:line="240" w:lineRule="atLeast"/>
        <w:ind w:left="357"/>
        <w:rPr>
          <w:rFonts w:ascii="Tms Rmn" w:hAnsi="Tms Rmn" w:cs="Tms Rmn"/>
          <w:color w:val="000000"/>
        </w:rPr>
      </w:pPr>
    </w:p>
    <w:p w:rsidR="00000000" w:rsidRDefault="005C4F38">
      <w:pPr>
        <w:spacing w:line="240" w:lineRule="atLeast"/>
        <w:ind w:left="357"/>
        <w:rPr>
          <w:rFonts w:ascii="Tms Rmn" w:hAnsi="Tms Rmn" w:cs="Tms Rmn"/>
          <w:b/>
          <w:color w:val="000000"/>
        </w:rPr>
      </w:pPr>
      <w:r>
        <w:rPr>
          <w:rFonts w:ascii="Tms Rmn" w:hAnsi="Tms Rmn" w:cs="Tms Rmn"/>
          <w:b/>
          <w:color w:val="000000"/>
        </w:rPr>
        <w:t>Kostnaður sem verksali leggur út fyrir.</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Sé ætlast til þess að verksali leggi út fyrir kostnaði vegna aðstöðu, efnis eða annars sem verkkaup</w:t>
      </w:r>
      <w:r>
        <w:rPr>
          <w:rFonts w:ascii="Tms Rmn" w:hAnsi="Tms Rmn" w:cs="Tms Rmn"/>
          <w:color w:val="000000"/>
        </w:rPr>
        <w:t>i á að láta í té þarf að koma fram hvernig útlagður kostnaður er endurgreiddur, t.d. hvort verksali fær greitt álag fyrir umsýslu. Einnig þarf að koma fram í samningi hvernig slíkar skuldbindingar eru takmarkaðar, t.d. að verksali þurfi að leita samþykkis verkkaupa fyrirfram.</w:t>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center"/>
        <w:rPr>
          <w:rFonts w:ascii="Tms Rmn" w:hAnsi="Tms Rmn" w:cs="Tms Rmn"/>
          <w:b/>
          <w:i/>
          <w:color w:val="000000"/>
        </w:rPr>
      </w:pPr>
      <w:r>
        <w:rPr>
          <w:rFonts w:ascii="Tms Rmn" w:hAnsi="Tms Rmn" w:cs="Tms Rmn"/>
          <w:b/>
          <w:i/>
          <w:color w:val="000000"/>
        </w:rPr>
        <w:t>Fjárhagslegar ráðstafanir verksala.</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Í þeim tilvikum sem samið er um verk án þess að það hafi verið boðið út kann að vera ástæða til að setja skorður í samningi við því að verksali geti tekið fé út úr rekstri sínum. Þetta getur sérs</w:t>
      </w:r>
      <w:r>
        <w:rPr>
          <w:rFonts w:ascii="Tms Rmn" w:hAnsi="Tms Rmn" w:cs="Tms Rmn"/>
          <w:color w:val="000000"/>
        </w:rPr>
        <w:t>taklega átt við í þeim tilvikum sem samið er við aðila sem ekki greiðir tekjuskatt af hagnaði sínum. Eftirfarandi gæti þá komið til greina:</w:t>
      </w:r>
    </w:p>
    <w:p w:rsidR="00000000" w:rsidRDefault="005C4F38">
      <w:pPr>
        <w:spacing w:line="240" w:lineRule="atLeast"/>
        <w:ind w:left="1440"/>
        <w:rPr>
          <w:rFonts w:ascii="Tms Rmn" w:hAnsi="Tms Rmn" w:cs="Tms Rmn"/>
          <w:color w:val="000000"/>
        </w:rPr>
      </w:pPr>
      <w:r>
        <w:rPr>
          <w:rFonts w:ascii="Tms Rmn" w:hAnsi="Tms Rmn" w:cs="Tms Rmn"/>
          <w:color w:val="000000"/>
        </w:rPr>
        <w:t xml:space="preserve">Hagnaði af rekstrinum er skipti milli verkkaupa og verksala. </w:t>
      </w:r>
    </w:p>
    <w:p w:rsidR="00000000" w:rsidRDefault="005C4F38">
      <w:pPr>
        <w:spacing w:line="240" w:lineRule="atLeast"/>
        <w:ind w:left="1440"/>
        <w:rPr>
          <w:rFonts w:ascii="Tms Rmn" w:hAnsi="Tms Rmn" w:cs="Tms Rmn"/>
          <w:color w:val="000000"/>
        </w:rPr>
      </w:pPr>
      <w:r>
        <w:rPr>
          <w:rFonts w:ascii="Tms Rmn" w:hAnsi="Tms Rmn" w:cs="Tms Rmn"/>
          <w:color w:val="000000"/>
        </w:rPr>
        <w:t>Hagnaði af rekstrinum er að hluta eða öllu leyti varið til uppbyggingar á aðstöðu eða til að auka þjónustu frá því sem tilgreint er í samningnum.</w:t>
      </w:r>
    </w:p>
    <w:p w:rsidR="00000000" w:rsidRDefault="005C4F38">
      <w:pPr>
        <w:spacing w:line="240" w:lineRule="atLeast"/>
        <w:ind w:left="1440"/>
        <w:rPr>
          <w:rFonts w:ascii="Tms Rmn" w:hAnsi="Tms Rmn" w:cs="Tms Rmn"/>
          <w:color w:val="000000"/>
        </w:rPr>
      </w:pPr>
      <w:r>
        <w:rPr>
          <w:rFonts w:ascii="Tms Rmn" w:hAnsi="Tms Rmn" w:cs="Tms Rmn"/>
          <w:color w:val="000000"/>
        </w:rPr>
        <w:t>Hagnaði af rekstrinum er til varið til að mynda varasjóð sem er til ráðstöfunar að loknum ábyrgðartíma verkefnisins.</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Almennt er rétt að standa þannig að málum a</w:t>
      </w:r>
      <w:r>
        <w:rPr>
          <w:rFonts w:ascii="Tms Rmn" w:hAnsi="Tms Rmn" w:cs="Tms Rmn"/>
          <w:color w:val="000000"/>
        </w:rPr>
        <w:t xml:space="preserve">ð ekki þyki tilefni til að fjalla um þessi atriði í samningnum. Sé samningur skýr m.a. hvað varðar magn og gæði þjónustunnar og greiðslur bundnar einingum ætti aðeins í undantekningartilvikum að semja á þessum nótum. </w:t>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b/>
          <w:color w:val="000000"/>
        </w:rPr>
      </w:pPr>
      <w:r>
        <w:rPr>
          <w:rFonts w:ascii="Tms Rmn" w:hAnsi="Tms Rmn" w:cs="Tms Rmn"/>
          <w:b/>
          <w:color w:val="000000"/>
        </w:rPr>
        <w:t>Verksali er sjálfseignarstofnun eða félagasamtök.</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Engin lög gilda um sjálfseignarstofnanir og félagasamtök sem leggja stund á atvinnustarfsemi. Meðan svo er þarf að taka fram í samningi við slíka aðila að verksali fylgi 72. gr. og 104. gr. hlutafélagalaga, nr. 2/1995.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72. gr.  hljóðar sv</w:t>
      </w:r>
      <w:r>
        <w:rPr>
          <w:rFonts w:ascii="Tms Rmn" w:hAnsi="Tms Rmn" w:cs="Tms Rmn"/>
          <w:color w:val="000000"/>
        </w:rPr>
        <w:t xml:space="preserve">o: “Stjórnarmaður eða framkvæmdastjóri mega ekki taka þátt í meðferð máls um samningagerð milli félagsins og þeirra, um málshöfðun gegn þeim eða um samningagerð milli félagsins og þriðja manns eða málshöfðun gegn þriðja manni ef þeir hafa þar verulegra hagsmuna að gæta sem kunna að fara í bága við hagsmuni félagsins. Skylt er stjórnarmanni og framkvæmdastjóra að upplýsa stjórn og verkkaupa um slík atvik.”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104. gr. hljóðar svo: “Hlutafélagi er hvorki heimilt að veita hluthöfum, stjórnarmönnum eða framkvæmd</w:t>
      </w:r>
      <w:r>
        <w:rPr>
          <w:rFonts w:ascii="Tms Rmn" w:hAnsi="Tms Rmn" w:cs="Tms Rmn"/>
          <w:color w:val="000000"/>
        </w:rPr>
        <w:t>astjórum félagsins eða móðurfélags þess lán né setja tryggingu fyrir þá. Félagi er einnig óheimilt að veita þeim lán eða setja fyrir þann tryggingu sem giftur er eða í óvígðri sambúð með aðila skv. 1. málsl. eða er skyldur honum að feðgatali eða niðja ellegar stendur hlutaðeigandi að öðru leyti sérstaklega nærri. Ákvæði þessarar málsgreinar tekur þó ekki til venjulegra viðskiptalána.”</w:t>
      </w:r>
    </w:p>
    <w:p w:rsidR="00000000" w:rsidRDefault="005C4F38">
      <w:pPr>
        <w:spacing w:line="24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b/>
          <w:color w:val="000000"/>
        </w:rPr>
      </w:pPr>
      <w:r>
        <w:rPr>
          <w:rFonts w:ascii="Tms Rmn" w:hAnsi="Tms Rmn" w:cs="Tms Rmn"/>
          <w:b/>
          <w:color w:val="000000"/>
        </w:rPr>
        <w:t>Óvenjulegar ráðstafanir.</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Í sumum tilvikum kann að vera ástæða til að taka fram að verksala sé aðeins heimilt að fengnu l</w:t>
      </w:r>
      <w:r>
        <w:rPr>
          <w:rFonts w:ascii="Tms Rmn" w:hAnsi="Tms Rmn" w:cs="Tms Rmn"/>
          <w:color w:val="000000"/>
        </w:rPr>
        <w:t xml:space="preserve">eyfi verkkaupa að ráðast í eða taka þátt í óvenjulegum ráðstöfunum sem kunna að leiða af </w:t>
      </w:r>
      <w:r>
        <w:rPr>
          <w:rFonts w:ascii="Tms Rmn" w:hAnsi="Tms Rmn" w:cs="Tms Rmn"/>
          <w:color w:val="000000"/>
        </w:rPr>
        <w:lastRenderedPageBreak/>
        <w:t>sér að eigi verði staðið við samninginn. Þörf fyrir slíkt ákvæði ræðst m.a. af þeim tryggingum sem eru settar fyrir verkinu.</w:t>
      </w:r>
    </w:p>
    <w:p w:rsidR="00000000" w:rsidRDefault="005C4F38">
      <w:pPr>
        <w:spacing w:line="360" w:lineRule="atLeast"/>
        <w:ind w:left="357"/>
        <w:jc w:val="both"/>
        <w:rPr>
          <w:rFonts w:ascii="Tms Rmn" w:hAnsi="Tms Rmn" w:cs="Tms Rmn"/>
          <w:color w:val="000000"/>
        </w:rPr>
      </w:pPr>
    </w:p>
    <w:p w:rsidR="00000000" w:rsidRDefault="005C4F38">
      <w:pPr>
        <w:spacing w:line="240" w:lineRule="atLeast"/>
        <w:ind w:left="357"/>
        <w:jc w:val="both"/>
        <w:rPr>
          <w:rFonts w:ascii="Tms Rmn" w:hAnsi="Tms Rmn" w:cs="Tms Rmn"/>
          <w:b/>
          <w:i/>
          <w:color w:val="000000"/>
        </w:rPr>
      </w:pPr>
      <w:r>
        <w:rPr>
          <w:rFonts w:ascii="Tms Rmn" w:hAnsi="Tms Rmn" w:cs="Tms Rmn"/>
          <w:b/>
          <w:i/>
          <w:color w:val="000000"/>
        </w:rPr>
        <w:t>Ábyrgð.</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Ætlast er til að verksali beri ábyrgð á úrlausn verkefnisins gagnvart verkkaupa og setji </w:t>
      </w:r>
      <w:r>
        <w:rPr>
          <w:rFonts w:ascii="Tms Rmn" w:hAnsi="Tms Rmn" w:cs="Tms Rmn"/>
          <w:b/>
          <w:color w:val="000000"/>
        </w:rPr>
        <w:t>tryggingar</w:t>
      </w:r>
      <w:r>
        <w:rPr>
          <w:rFonts w:ascii="Tms Rmn" w:hAnsi="Tms Rmn" w:cs="Tms Rmn"/>
          <w:color w:val="000000"/>
        </w:rPr>
        <w:t xml:space="preserve"> fyrir verkinu. En jafnframt þarf að taka fram að verkkaupi (þ.e. ríkið) setji ekki tryggingar fyrir greiðslum. Meta verður hverju sinni hve traustrar tryggingar þurfi að krefjast m.a. út</w:t>
      </w:r>
      <w:r>
        <w:rPr>
          <w:rFonts w:ascii="Tms Rmn" w:hAnsi="Tms Rmn" w:cs="Tms Rmn"/>
          <w:color w:val="000000"/>
        </w:rPr>
        <w:t xml:space="preserve"> frá fjárhagsstöðu verksala og fyrri reynslu af samskiptum við hann. Veðtrygging og bankatrygging eru traustar en tryggingarvíxill síður. Á sama hátt þarf að meta hve há tryggingin þarf að vera. Í því sambandi er rétt að taka m.a. tillit til þess hvernig greiðslum fyrir verkið verður háttað.</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Einnig þarf að ætlast til að verksali beri ábyrgð gagnvart notendum á þeirri þjónustu sem hann veitir, t.d. gagnvart slysum og tjóni sem starfsmenn hans valda við úrlausn verkefnisins. Í samningi getur því þurft að tak</w:t>
      </w:r>
      <w:r>
        <w:rPr>
          <w:rFonts w:ascii="Tms Rmn" w:hAnsi="Tms Rmn" w:cs="Tms Rmn"/>
          <w:color w:val="000000"/>
        </w:rPr>
        <w:t xml:space="preserve">a fram að verksali kaupi viðeigandi </w:t>
      </w:r>
      <w:r>
        <w:rPr>
          <w:rFonts w:ascii="Tms Rmn" w:hAnsi="Tms Rmn" w:cs="Tms Rmn"/>
          <w:b/>
          <w:color w:val="000000"/>
        </w:rPr>
        <w:t>ábyrgðartryggingar</w:t>
      </w:r>
      <w:r>
        <w:rPr>
          <w:rFonts w:ascii="Tms Rmn" w:hAnsi="Tms Rmn" w:cs="Tms Rmn"/>
          <w:color w:val="000000"/>
        </w:rPr>
        <w:t>.</w:t>
      </w:r>
    </w:p>
    <w:p w:rsidR="00000000" w:rsidRDefault="005C4F38">
      <w:pPr>
        <w:spacing w:line="240" w:lineRule="atLeast"/>
        <w:ind w:left="357" w:firstLine="567"/>
        <w:jc w:val="both"/>
        <w:rPr>
          <w:rFonts w:ascii="Tms Rmn" w:hAnsi="Tms Rmn" w:cs="Tms Rmn"/>
          <w:color w:val="000000"/>
        </w:rPr>
      </w:pPr>
    </w:p>
    <w:p w:rsidR="00000000" w:rsidRDefault="005C4F38">
      <w:pPr>
        <w:spacing w:line="240" w:lineRule="atLeast"/>
        <w:ind w:left="357"/>
        <w:jc w:val="both"/>
        <w:rPr>
          <w:rFonts w:ascii="Tms Rmn" w:hAnsi="Tms Rmn" w:cs="Tms Rmn"/>
          <w:color w:val="000000"/>
        </w:rPr>
      </w:pPr>
      <w:r>
        <w:rPr>
          <w:rFonts w:ascii="Tms Rmn" w:hAnsi="Tms Rmn" w:cs="Tms Rmn"/>
          <w:color w:val="000000"/>
        </w:rPr>
        <w:tab/>
      </w:r>
    </w:p>
    <w:p w:rsidR="00000000" w:rsidRDefault="005C4F38">
      <w:pPr>
        <w:spacing w:line="240" w:lineRule="atLeast"/>
        <w:ind w:left="357"/>
        <w:jc w:val="both"/>
        <w:rPr>
          <w:rFonts w:ascii="Tms Rmn" w:hAnsi="Tms Rmn" w:cs="Tms Rmn"/>
          <w:b/>
          <w:i/>
          <w:color w:val="000000"/>
        </w:rPr>
      </w:pPr>
      <w:r>
        <w:rPr>
          <w:rFonts w:ascii="Tms Rmn" w:hAnsi="Tms Rmn" w:cs="Tms Rmn"/>
          <w:b/>
          <w:i/>
          <w:color w:val="000000"/>
        </w:rPr>
        <w:t>Eftirlit með verkefninu.</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Í samningi þarf að gera grein fyrir því hvernig samskiptum verður háttað vegna eftirlits og hverjar eru heimildir og skyldur samningsaðila í því sambandi.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Ætlast þarf til að verksali skili verkkaupa </w:t>
      </w:r>
      <w:r>
        <w:rPr>
          <w:rFonts w:ascii="Tms Rmn" w:hAnsi="Tms Rmn" w:cs="Tms Rmn"/>
          <w:b/>
          <w:color w:val="000000"/>
        </w:rPr>
        <w:t>ársreikningi</w:t>
      </w:r>
      <w:r>
        <w:rPr>
          <w:rFonts w:ascii="Tms Rmn" w:hAnsi="Tms Rmn" w:cs="Tms Rmn"/>
          <w:color w:val="000000"/>
        </w:rPr>
        <w:t xml:space="preserve"> á hverju ári samningstímans þannig að verkkaupi geti m.a. fylgst með því hvort fjárhagslegt bolmagn verksala hafi breyst frá því samningur var gerður. Um ársreikninga einkaaðila gilda lög nr. 144/1994 með síðar</w:t>
      </w:r>
      <w:r>
        <w:rPr>
          <w:rFonts w:ascii="Tms Rmn" w:hAnsi="Tms Rmn" w:cs="Tms Rmn"/>
          <w:color w:val="000000"/>
        </w:rPr>
        <w:t>i breytingum.</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Taka þarf m.a. afstöðu til eftirfarandi atriða við samningsgerðina:</w:t>
      </w:r>
    </w:p>
    <w:p w:rsidR="00000000" w:rsidRDefault="005C4F38">
      <w:pPr>
        <w:spacing w:line="240" w:lineRule="atLeast"/>
        <w:ind w:left="1350"/>
        <w:rPr>
          <w:rFonts w:ascii="Tms Rmn" w:hAnsi="Tms Rmn" w:cs="Tms Rmn"/>
          <w:color w:val="000000"/>
        </w:rPr>
      </w:pPr>
      <w:r>
        <w:rPr>
          <w:rFonts w:ascii="Tms Rmn" w:hAnsi="Tms Rmn" w:cs="Tms Rmn"/>
          <w:color w:val="000000"/>
        </w:rPr>
        <w:t>Hvort verksala er óheimilt að skipa nýjan stjórnanda verkefnis án samþykkis verkkaupa.</w:t>
      </w:r>
      <w:r>
        <w:rPr>
          <w:rFonts w:ascii="Tms Rmn" w:hAnsi="Tms Rmn" w:cs="Tms Rmn"/>
          <w:color w:val="000000"/>
        </w:rPr>
        <w:tab/>
      </w:r>
    </w:p>
    <w:p w:rsidR="00000000" w:rsidRDefault="005C4F38">
      <w:pPr>
        <w:spacing w:line="240" w:lineRule="atLeast"/>
        <w:ind w:left="1350"/>
        <w:rPr>
          <w:rFonts w:ascii="Tms Rmn" w:hAnsi="Tms Rmn" w:cs="Tms Rmn"/>
          <w:color w:val="000000"/>
        </w:rPr>
      </w:pPr>
      <w:r>
        <w:rPr>
          <w:rFonts w:ascii="Tms Rmn" w:hAnsi="Tms Rmn" w:cs="Tms Rmn"/>
          <w:color w:val="000000"/>
        </w:rPr>
        <w:t>Hvaða upplýsingar verksali þarf að skrá hjá sér um framkvæmd verkefnisins t.d.:</w:t>
      </w:r>
    </w:p>
    <w:p w:rsidR="00000000" w:rsidRDefault="005C4F38">
      <w:pPr>
        <w:spacing w:line="240" w:lineRule="atLeast"/>
        <w:ind w:left="1350"/>
        <w:rPr>
          <w:rFonts w:ascii="Tms Rmn" w:hAnsi="Tms Rmn" w:cs="Tms Rmn"/>
          <w:color w:val="000000"/>
        </w:rPr>
      </w:pPr>
      <w:r>
        <w:rPr>
          <w:rFonts w:ascii="Tms Rmn" w:hAnsi="Tms Rmn" w:cs="Tms Rmn"/>
          <w:color w:val="000000"/>
        </w:rPr>
        <w:t>Hvaða þjónusta er veitt.</w:t>
      </w:r>
    </w:p>
    <w:p w:rsidR="00000000" w:rsidRDefault="005C4F38">
      <w:pPr>
        <w:spacing w:line="240" w:lineRule="atLeast"/>
        <w:ind w:left="1350"/>
        <w:rPr>
          <w:rFonts w:ascii="Tms Rmn" w:hAnsi="Tms Rmn" w:cs="Tms Rmn"/>
          <w:color w:val="000000"/>
        </w:rPr>
      </w:pPr>
      <w:r>
        <w:rPr>
          <w:rFonts w:ascii="Tms Rmn" w:hAnsi="Tms Rmn" w:cs="Tms Rmn"/>
          <w:color w:val="000000"/>
        </w:rPr>
        <w:t>Þá sem nota þjónustuna, t.d. hverjir þeir eru.</w:t>
      </w:r>
    </w:p>
    <w:p w:rsidR="00000000" w:rsidRDefault="005C4F38">
      <w:pPr>
        <w:spacing w:line="240" w:lineRule="atLeast"/>
        <w:ind w:left="1350"/>
        <w:rPr>
          <w:rFonts w:ascii="Tms Rmn" w:hAnsi="Tms Rmn" w:cs="Tms Rmn"/>
          <w:color w:val="000000"/>
        </w:rPr>
      </w:pPr>
      <w:r>
        <w:rPr>
          <w:rFonts w:ascii="Tms Rmn" w:hAnsi="Tms Rmn" w:cs="Tms Rmn"/>
          <w:color w:val="000000"/>
        </w:rPr>
        <w:t>Magn þjónustu, t.d. fjölda sem er veitt þjónusta eða fjölda þjónustueininga.</w:t>
      </w:r>
    </w:p>
    <w:p w:rsidR="00000000" w:rsidRDefault="005C4F38">
      <w:pPr>
        <w:spacing w:line="240" w:lineRule="atLeast"/>
        <w:ind w:left="1350"/>
        <w:rPr>
          <w:rFonts w:ascii="Tms Rmn" w:hAnsi="Tms Rmn" w:cs="Tms Rmn"/>
          <w:color w:val="000000"/>
        </w:rPr>
      </w:pPr>
      <w:r>
        <w:rPr>
          <w:rFonts w:ascii="Tms Rmn" w:hAnsi="Tms Rmn" w:cs="Tms Rmn"/>
          <w:color w:val="000000"/>
        </w:rPr>
        <w:t>Gæði þjónustu, t.d. frávik frá stöðlum eða yfir hverju notendur kvarta og hvaða meðferð hver einstök kvört</w:t>
      </w:r>
      <w:r>
        <w:rPr>
          <w:rFonts w:ascii="Tms Rmn" w:hAnsi="Tms Rmn" w:cs="Tms Rmn"/>
          <w:color w:val="000000"/>
        </w:rPr>
        <w:t>un fær.</w:t>
      </w:r>
    </w:p>
    <w:p w:rsidR="00000000" w:rsidRDefault="005C4F38">
      <w:pPr>
        <w:spacing w:line="240" w:lineRule="atLeast"/>
        <w:ind w:left="1350"/>
        <w:jc w:val="both"/>
        <w:rPr>
          <w:rFonts w:ascii="Tms Rmn" w:hAnsi="Tms Rmn" w:cs="Tms Rmn"/>
          <w:color w:val="000000"/>
        </w:rPr>
      </w:pPr>
      <w:r>
        <w:rPr>
          <w:rFonts w:ascii="Tms Rmn" w:hAnsi="Tms Rmn" w:cs="Tms Rmn"/>
          <w:color w:val="000000"/>
        </w:rPr>
        <w:t>Þurfi skráningin að vera á ákveðnu formi, t.d. samræmdu, þarf að taka slíkt fram.</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Hvaða og hvenær verksali skuli skila verkkaupa ótilkvaddur upplýsingum um verkefnið, t.d. í ársskýrslu og á verkfundum.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Verkkaupi þarf að áskilja sér rétt til að </w:t>
      </w:r>
      <w:r>
        <w:rPr>
          <w:rFonts w:ascii="Tms Rmn" w:hAnsi="Tms Rmn" w:cs="Tms Rmn"/>
          <w:b/>
          <w:color w:val="000000"/>
        </w:rPr>
        <w:t>kanna aðstæður</w:t>
      </w:r>
      <w:r>
        <w:rPr>
          <w:rFonts w:ascii="Tms Rmn" w:hAnsi="Tms Rmn" w:cs="Tms Rmn"/>
          <w:color w:val="000000"/>
        </w:rPr>
        <w:t xml:space="preserve"> þar sem verkið er unnið og </w:t>
      </w:r>
      <w:r>
        <w:rPr>
          <w:rFonts w:ascii="Tms Rmn" w:hAnsi="Tms Rmn" w:cs="Tms Rmn"/>
          <w:b/>
          <w:color w:val="000000"/>
        </w:rPr>
        <w:t>aðgang að þeim upplýsingum</w:t>
      </w:r>
      <w:r>
        <w:rPr>
          <w:rFonts w:ascii="Tms Rmn" w:hAnsi="Tms Rmn" w:cs="Tms Rmn"/>
          <w:color w:val="000000"/>
        </w:rPr>
        <w:t xml:space="preserve"> sem verksali skráir vegna verkefnisins. Áskilji verkkaupi sér rétt til að hafa aðgang að trúnaðarupplýsingum sem verksala ber að skrá og varðveita varðandi samskipti verksala við notendur</w:t>
      </w:r>
      <w:r>
        <w:rPr>
          <w:rFonts w:ascii="Tms Rmn" w:hAnsi="Tms Rmn" w:cs="Tms Rmn"/>
          <w:color w:val="000000"/>
        </w:rPr>
        <w:t xml:space="preserve"> þjónustunnar (t.d. sjúkraskrám og nemendaskrám) þarf að geta þess í samningi. Rétt er að kanna heimildir fyrir slíkum aðgangi hjá Tölvunefnd í vafatilvikum.</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 xml:space="preserve">Sé ekki samið á grundvelli útboðs þarf að gera kröfu til verksala um að hann aðgreini </w:t>
      </w:r>
      <w:r>
        <w:rPr>
          <w:rFonts w:ascii="Tms Rmn" w:hAnsi="Tms Rmn" w:cs="Tms Rmn"/>
          <w:b/>
          <w:color w:val="000000"/>
        </w:rPr>
        <w:t>fjárreiður verkefnisins í bókhaldi</w:t>
      </w:r>
      <w:r>
        <w:rPr>
          <w:rFonts w:ascii="Tms Rmn" w:hAnsi="Tms Rmn" w:cs="Tms Rmn"/>
          <w:color w:val="000000"/>
        </w:rPr>
        <w:t xml:space="preserve"> frá annarri starfsemi svo bera megi kostnað við það og einstaka þætti þess saman við sambærileg verkefni hjá ríkisaðilum. Í þessu sambandi er rétt að láta koma fram, t.d. í fylgiskjali, hvaða sundurliðunar er krafist. Almennt ætti a</w:t>
      </w:r>
      <w:r>
        <w:rPr>
          <w:rFonts w:ascii="Tms Rmn" w:hAnsi="Tms Rmn" w:cs="Tms Rmn"/>
          <w:color w:val="000000"/>
        </w:rPr>
        <w:t>ðeins að krefjast lágmarks sundurliðunar.</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Vakin er athygli á eftirlitsheimildum Ríkisendurskoðunar skv. lögum nr. 86/1997.</w:t>
      </w:r>
    </w:p>
    <w:p w:rsidR="00000000" w:rsidRDefault="005C4F38">
      <w:pPr>
        <w:spacing w:line="240" w:lineRule="atLeast"/>
        <w:ind w:left="357"/>
        <w:rPr>
          <w:rFonts w:ascii="Tms Rmn" w:hAnsi="Tms Rmn" w:cs="Tms Rmn"/>
          <w:color w:val="000000"/>
        </w:rPr>
      </w:pPr>
    </w:p>
    <w:p w:rsidR="00000000" w:rsidRDefault="005C4F38">
      <w:pPr>
        <w:spacing w:line="240" w:lineRule="atLeast"/>
        <w:ind w:left="357"/>
        <w:jc w:val="center"/>
        <w:rPr>
          <w:rFonts w:ascii="Tms Rmn" w:hAnsi="Tms Rmn" w:cs="Tms Rmn"/>
          <w:b/>
          <w:i/>
          <w:color w:val="000000"/>
        </w:rPr>
      </w:pPr>
      <w:r>
        <w:rPr>
          <w:rFonts w:ascii="Tms Rmn" w:hAnsi="Tms Rmn" w:cs="Tms Rmn"/>
          <w:b/>
          <w:i/>
          <w:color w:val="000000"/>
        </w:rPr>
        <w:lastRenderedPageBreak/>
        <w:t>Meðferð ágreinings og beiting viðurlaga.</w:t>
      </w:r>
    </w:p>
    <w:p w:rsidR="00000000" w:rsidRDefault="005C4F38">
      <w:pPr>
        <w:tabs>
          <w:tab w:val="left" w:pos="924"/>
        </w:tabs>
        <w:spacing w:line="240" w:lineRule="atLeast"/>
        <w:ind w:left="357"/>
        <w:jc w:val="both"/>
        <w:rPr>
          <w:rFonts w:ascii="Tms Rmn" w:hAnsi="Tms Rmn" w:cs="Tms Rmn"/>
          <w:color w:val="000000"/>
        </w:rPr>
      </w:pPr>
      <w:r>
        <w:rPr>
          <w:rFonts w:ascii="Tms Rmn" w:hAnsi="Tms Rmn" w:cs="Tms Rmn"/>
          <w:color w:val="000000"/>
        </w:rPr>
        <w:tab/>
        <w:t xml:space="preserve">Í samningnum þarf að kveða á um hvernig ágreiningur skuli jafnaður. Ein leið er að semja um sérstaka samstarfsnefnd sem fylgist með framkvæmd samningsins og fjallar um álitamál.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Ákveða þarf í samningi hvar skuli reka mál sem rísa kunna út af samningnum. Tvennt kemur einkum til greina:</w:t>
      </w:r>
    </w:p>
    <w:p w:rsidR="00000000" w:rsidRDefault="005C4F38">
      <w:pPr>
        <w:spacing w:line="240" w:lineRule="atLeast"/>
        <w:ind w:left="1350"/>
        <w:rPr>
          <w:rFonts w:ascii="Tms Rmn" w:hAnsi="Tms Rmn" w:cs="Tms Rmn"/>
          <w:color w:val="000000"/>
        </w:rPr>
      </w:pPr>
      <w:r>
        <w:rPr>
          <w:rFonts w:ascii="Tms Rmn" w:hAnsi="Tms Rmn" w:cs="Tms Rmn"/>
          <w:color w:val="000000"/>
        </w:rPr>
        <w:t>Reka málið fyrir héraðsdómi, t.d. í því héraði sem ve</w:t>
      </w:r>
      <w:r>
        <w:rPr>
          <w:rFonts w:ascii="Tms Rmn" w:hAnsi="Tms Rmn" w:cs="Tms Rmn"/>
          <w:color w:val="000000"/>
        </w:rPr>
        <w:t>rkið er unnið.</w:t>
      </w:r>
    </w:p>
    <w:p w:rsidR="00000000" w:rsidRDefault="005C4F38">
      <w:pPr>
        <w:spacing w:line="240" w:lineRule="atLeast"/>
        <w:ind w:left="1350"/>
        <w:rPr>
          <w:rFonts w:ascii="Tms Rmn" w:hAnsi="Tms Rmn" w:cs="Tms Rmn"/>
          <w:color w:val="000000"/>
        </w:rPr>
      </w:pPr>
      <w:r>
        <w:rPr>
          <w:rFonts w:ascii="Tms Rmn" w:hAnsi="Tms Rmn" w:cs="Tms Rmn"/>
          <w:color w:val="000000"/>
        </w:rPr>
        <w:t xml:space="preserve">Reka málið fyrir gerðardómi samkvæmt lögum um samningsbundna gerðardóma nr. 53/1989. Taka þarf fram hvernig gerðardómur skal skipaður. </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Ákveða þarf í samningi hvernig kostnaður við sáttanefnd og gerðardóm skiptist og ætti almennt að miða við að hann skiptist jafnt milli samningsaðila.</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Einnig þarf að ákveða í samningi hvaða heimildir samningsaðili hefur til að beita viðurlögum ef viðsemjandi hans uppfyllir ekki samningsskyldur sínar. Í þessu sambandi kemur t.d. greina að kveða á um rétt kau</w:t>
      </w:r>
      <w:r>
        <w:rPr>
          <w:rFonts w:ascii="Tms Rmn" w:hAnsi="Tms Rmn" w:cs="Tms Rmn"/>
          <w:color w:val="000000"/>
        </w:rPr>
        <w:t>panda til að fresta eða fella niður greiðslur falli þjónusta niður eða sé hún ekki veitt í samræmi við samning, upplýsingum ekki skilað á réttum tíma eða gæðakerfi uppfylla ekki kröfur.</w:t>
      </w:r>
    </w:p>
    <w:p w:rsidR="00000000" w:rsidRDefault="005C4F38">
      <w:pPr>
        <w:spacing w:line="240" w:lineRule="atLeast"/>
        <w:ind w:left="357"/>
        <w:rPr>
          <w:rFonts w:ascii="Tms Rmn" w:hAnsi="Tms Rmn" w:cs="Tms Rmn"/>
          <w:color w:val="000000"/>
        </w:rPr>
      </w:pPr>
    </w:p>
    <w:p w:rsidR="00000000" w:rsidRDefault="005C4F38">
      <w:pPr>
        <w:spacing w:line="240" w:lineRule="atLeast"/>
        <w:ind w:left="357"/>
        <w:jc w:val="center"/>
        <w:rPr>
          <w:rFonts w:ascii="Tms Rmn" w:hAnsi="Tms Rmn" w:cs="Tms Rmn"/>
          <w:b/>
          <w:i/>
          <w:color w:val="000000"/>
        </w:rPr>
      </w:pPr>
      <w:r>
        <w:rPr>
          <w:rFonts w:ascii="Tms Rmn" w:hAnsi="Tms Rmn" w:cs="Tms Rmn"/>
          <w:b/>
          <w:i/>
          <w:color w:val="000000"/>
        </w:rPr>
        <w:t>Gildistími.</w:t>
      </w:r>
    </w:p>
    <w:p w:rsidR="00000000" w:rsidRDefault="005C4F38">
      <w:pPr>
        <w:spacing w:line="240" w:lineRule="atLeast"/>
        <w:ind w:left="357" w:firstLine="567"/>
        <w:rPr>
          <w:rFonts w:ascii="Tms Rmn" w:hAnsi="Tms Rmn" w:cs="Tms Rmn"/>
          <w:color w:val="000000"/>
        </w:rPr>
      </w:pPr>
      <w:r>
        <w:rPr>
          <w:rFonts w:ascii="Tms Rmn" w:hAnsi="Tms Rmn" w:cs="Tms Rmn"/>
          <w:color w:val="000000"/>
        </w:rPr>
        <w:t>Í samningnum þarf að koma fram frá og til hvaða tíma hann gildir. Samningstími skal almennt ekki vera lengri en sex ár.</w:t>
      </w:r>
    </w:p>
    <w:p w:rsidR="00000000" w:rsidRDefault="005C4F38">
      <w:pPr>
        <w:spacing w:line="240" w:lineRule="atLeast"/>
        <w:ind w:left="357" w:firstLine="567"/>
        <w:rPr>
          <w:rFonts w:ascii="Tms Rmn" w:hAnsi="Tms Rmn" w:cs="Tms Rmn"/>
          <w:color w:val="000000"/>
        </w:rPr>
      </w:pPr>
      <w:r>
        <w:rPr>
          <w:rFonts w:ascii="Tms Rmn" w:hAnsi="Tms Rmn" w:cs="Tms Rmn"/>
          <w:color w:val="000000"/>
        </w:rPr>
        <w:t>Einnig þarf að koma fram með hve löngum fyrirvara samningsaðilar geta sagt samningnum upp. Samkvæmt 30. gr. fjárreiðulaga skal uppsagnarfrestur eigi vera skemmri en 3 mánuðir og er það m.a.</w:t>
      </w:r>
      <w:r>
        <w:rPr>
          <w:rFonts w:ascii="Tms Rmn" w:hAnsi="Tms Rmn" w:cs="Tms Rmn"/>
          <w:color w:val="000000"/>
        </w:rPr>
        <w:t xml:space="preserve"> gert til að tryggja hagsmuni verksala. Semja þarf um uppsagnarfrest og láta koma fram í samningi að uppsögn skuli vera skrifleg.</w:t>
      </w:r>
    </w:p>
    <w:p w:rsidR="00000000" w:rsidRDefault="005C4F38">
      <w:pPr>
        <w:spacing w:line="240" w:lineRule="atLeast"/>
        <w:ind w:left="357" w:firstLine="567"/>
        <w:rPr>
          <w:rFonts w:ascii="Tms Rmn" w:hAnsi="Tms Rmn" w:cs="Tms Rmn"/>
          <w:color w:val="000000"/>
        </w:rPr>
      </w:pPr>
      <w:r>
        <w:rPr>
          <w:rFonts w:ascii="Tms Rmn" w:hAnsi="Tms Rmn" w:cs="Tms Rmn"/>
          <w:color w:val="000000"/>
        </w:rPr>
        <w:t>Eftirtalin atriði gætu einnig átt við í samningi:</w:t>
      </w:r>
    </w:p>
    <w:p w:rsidR="00000000" w:rsidRDefault="005C4F38">
      <w:pPr>
        <w:spacing w:line="240" w:lineRule="atLeast"/>
        <w:ind w:left="1710"/>
        <w:rPr>
          <w:rFonts w:ascii="Tms Rmn" w:hAnsi="Tms Rmn" w:cs="Tms Rmn"/>
          <w:color w:val="000000"/>
        </w:rPr>
      </w:pPr>
      <w:r>
        <w:rPr>
          <w:rFonts w:ascii="Tms Rmn" w:hAnsi="Tms Rmn" w:cs="Tms Rmn"/>
          <w:color w:val="000000"/>
        </w:rPr>
        <w:t>Hvenær á samningstímanum samningsaðilar munu hefja viðræður um framlengingu samningssambands um sama verkefni. Oft er miðað við að samningsaðilar ákveði t.d. með hálfs árs fyrirvara hvort þeir stefna að gerð nýs samnings.</w:t>
      </w:r>
    </w:p>
    <w:p w:rsidR="00000000" w:rsidRDefault="005C4F38">
      <w:pPr>
        <w:spacing w:line="240" w:lineRule="atLeast"/>
        <w:ind w:left="1710"/>
        <w:rPr>
          <w:rFonts w:ascii="Tms Rmn" w:hAnsi="Tms Rmn" w:cs="Tms Rmn"/>
          <w:color w:val="000000"/>
        </w:rPr>
      </w:pPr>
      <w:r>
        <w:rPr>
          <w:rFonts w:ascii="Tms Rmn" w:hAnsi="Tms Rmn" w:cs="Tms Rmn"/>
          <w:color w:val="000000"/>
        </w:rPr>
        <w:t>Taka fram að telji samningsaðili að forsendur, sem lágu fyrir við gerð samningsins, breytist verulega á sam</w:t>
      </w:r>
      <w:r>
        <w:rPr>
          <w:rFonts w:ascii="Tms Rmn" w:hAnsi="Tms Rmn" w:cs="Tms Rmn"/>
          <w:color w:val="000000"/>
        </w:rPr>
        <w:t>ningstímanum sé honum heimilt að fara fram á viðræður um endurskoðun á einstaka ákvæðum samningsins.</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Fram þarf að koma í samningnum hve frumrit hans eru mörg. Hvor samningsaðili heldur frumriti og ef óskað er eftir að fjármálaráðuneytið samþykki samninginn fær það þriðja eintakið. Samningar sem gerðir eru án undirritunar fjármálaráðherra skuldbinda ríkissjóð ekki fjárhagslega.</w:t>
      </w:r>
    </w:p>
    <w:p w:rsidR="00000000" w:rsidRDefault="005C4F38">
      <w:pPr>
        <w:spacing w:line="240" w:lineRule="atLeast"/>
        <w:ind w:left="357" w:firstLine="567"/>
        <w:jc w:val="both"/>
        <w:rPr>
          <w:rFonts w:ascii="Tms Rmn" w:hAnsi="Tms Rmn" w:cs="Tms Rmn"/>
          <w:color w:val="000000"/>
        </w:rPr>
      </w:pPr>
      <w:r>
        <w:rPr>
          <w:rFonts w:ascii="Tms Rmn" w:hAnsi="Tms Rmn" w:cs="Tms Rmn"/>
          <w:color w:val="000000"/>
        </w:rPr>
        <w:t>Á eftir undirritun er rétt að telja upp fylgiskjöl samningsins, ef þau eru ekki talin upp í kafla um samningsgögn.</w:t>
      </w:r>
    </w:p>
    <w:p w:rsidR="00000000" w:rsidRDefault="005C4F38">
      <w:pPr>
        <w:tabs>
          <w:tab w:val="left" w:pos="717"/>
        </w:tabs>
        <w:spacing w:line="240" w:lineRule="atLeast"/>
        <w:ind w:left="357"/>
        <w:jc w:val="both"/>
        <w:rPr>
          <w:rFonts w:ascii="Tms Rmn" w:hAnsi="Tms Rmn" w:cs="Tms Rmn"/>
          <w:color w:val="000000"/>
        </w:rPr>
      </w:pPr>
    </w:p>
    <w:p w:rsidR="00000000" w:rsidRDefault="005C4F38">
      <w:pPr>
        <w:tabs>
          <w:tab w:val="left" w:pos="717"/>
        </w:tabs>
        <w:spacing w:line="240" w:lineRule="atLeast"/>
        <w:ind w:left="357"/>
        <w:jc w:val="both"/>
        <w:rPr>
          <w:rFonts w:ascii="Tms Rmn" w:hAnsi="Tms Rmn" w:cs="Tms Rmn"/>
          <w:color w:val="000000"/>
        </w:rPr>
      </w:pPr>
    </w:p>
    <w:p w:rsidR="005C4F38" w:rsidRDefault="005C4F38"/>
    <w:sectPr w:rsidR="005C4F38">
      <w:pgSz w:w="12240" w:h="15840"/>
      <w:pgMar w:top="1417" w:right="822" w:bottom="1417" w:left="1440"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6DC"/>
    <w:rsid w:val="005C4F38"/>
    <w:rsid w:val="00A256D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4155E-70BF-479D-A9C6-6CE44FD5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is-IS" w:eastAsia="is-I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Pr>
      <w:rFonts w:ascii="Times New Roman" w:hAnsi="Times New Roman"/>
      <w:sz w:val="24"/>
      <w:lang w:val="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3150</Words>
  <Characters>17961</Characters>
  <Application>Microsoft Office Word</Application>
  <DocSecurity>0</DocSecurity>
  <Lines>149</Lines>
  <Paragraphs>42</Paragraphs>
  <ScaleCrop>false</ScaleCrop>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Fjármálaráðuneytið</dc:title>
  <dc:subject/>
  <dc:creator>Helga Jónsdóttir</dc:creator>
  <cp:keywords/>
  <dc:description/>
  <cp:lastModifiedBy>Sigurður Davíðsson</cp:lastModifiedBy>
  <cp:revision>2</cp:revision>
  <dcterms:created xsi:type="dcterms:W3CDTF">2020-01-10T13:45:00Z</dcterms:created>
  <dcterms:modified xsi:type="dcterms:W3CDTF">2020-01-10T13:45:00Z</dcterms:modified>
</cp:coreProperties>
</file>