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drawings/drawing6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7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1F" w:rsidRPr="00A03597" w:rsidRDefault="001822F1" w:rsidP="00083A6C">
      <w:pPr>
        <w:pStyle w:val="Heading1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-400050</wp:posOffset>
                </wp:positionV>
                <wp:extent cx="3248025" cy="3524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43D" w:rsidRPr="00A1528B" w:rsidRDefault="0056443D">
                            <w:pPr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</w:pPr>
                            <w:r w:rsidRPr="00A1528B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>Innanríkisráðuneytið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5pt;margin-top:-31.5pt;width:255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" fillcolor="white [3201]" stroked="f" strokeweight=".5pt">
                <v:path arrowok="t"/>
                <v:textbox>
                  <w:txbxContent>
                    <w:p w:rsidR="0056443D" w:rsidRPr="00A1528B" w:rsidRDefault="0056443D">
                      <w:pPr>
                        <w:rPr>
                          <w:b/>
                          <w:color w:val="244061" w:themeColor="accent1" w:themeShade="80"/>
                          <w:sz w:val="28"/>
                        </w:rPr>
                      </w:pPr>
                      <w:r w:rsidRPr="00A1528B">
                        <w:rPr>
                          <w:b/>
                          <w:color w:val="244061" w:themeColor="accent1" w:themeShade="80"/>
                          <w:sz w:val="28"/>
                        </w:rPr>
                        <w:t>Innanríkisráðuneytið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523875</wp:posOffset>
                </wp:positionV>
                <wp:extent cx="2070100" cy="31369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43D" w:rsidRPr="004B0D60" w:rsidRDefault="00D876BC" w:rsidP="003B471F">
                            <w:pPr>
                              <w:jc w:val="right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</w:t>
                            </w:r>
                            <w:r w:rsidR="0056443D" w:rsidRPr="004B0D60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. tbl.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12</w:t>
                            </w:r>
                            <w:r w:rsidR="0056443D" w:rsidRPr="004B0D60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. árg.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371.25pt;margin-top:41.25pt;width:163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2guQIAAME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" filled="f" stroked="f">
                <v:textbox>
                  <w:txbxContent>
                    <w:p w:rsidR="0056443D" w:rsidRPr="004B0D60" w:rsidRDefault="00D876BC" w:rsidP="003B471F">
                      <w:pPr>
                        <w:jc w:val="right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2</w:t>
                      </w:r>
                      <w:r w:rsidR="0056443D" w:rsidRPr="004B0D60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. tbl. </w:t>
                      </w: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12</w:t>
                      </w:r>
                      <w:r w:rsidR="0056443D" w:rsidRPr="004B0D60">
                        <w:rPr>
                          <w:b/>
                          <w:color w:val="FFFFFF"/>
                          <w:sz w:val="22"/>
                          <w:szCs w:val="22"/>
                        </w:rPr>
                        <w:t>. árg.</w:t>
                      </w: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514350</wp:posOffset>
                </wp:positionV>
                <wp:extent cx="2870200" cy="31369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43D" w:rsidRPr="004B0D60" w:rsidRDefault="0056443D" w:rsidP="003B471F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B0D60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Jöfnunarsjóður sveitarfélaga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03.9pt;margin-top:40.5pt;width:226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" filled="f" stroked="f">
                <v:textbox>
                  <w:txbxContent>
                    <w:p w:rsidR="0056443D" w:rsidRPr="004B0D60" w:rsidRDefault="0056443D" w:rsidP="003B471F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4B0D60">
                        <w:rPr>
                          <w:b/>
                          <w:color w:val="FFFFFF"/>
                          <w:sz w:val="22"/>
                          <w:szCs w:val="22"/>
                        </w:rPr>
                        <w:t>Jöfnunarsjóður sveitarfélaga</w:t>
                      </w:r>
                    </w:p>
                  </w:txbxContent>
                </v:textbox>
              </v:shape>
            </w:pict>
          </mc:Fallback>
        </mc:AlternateContent>
      </w:r>
      <w:r w:rsidR="003B471F"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-914400</wp:posOffset>
            </wp:positionV>
            <wp:extent cx="7762875" cy="1504950"/>
            <wp:effectExtent l="0" t="0" r="9525" b="0"/>
            <wp:wrapSquare wrapText="bothSides"/>
            <wp:docPr id="2" name="Picture 2" descr="ny 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 ha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471F" w:rsidRPr="00A03597">
        <w:t>Almennar húsaleigubætur</w:t>
      </w:r>
    </w:p>
    <w:p w:rsidR="008870F9" w:rsidRDefault="008870F9" w:rsidP="008870F9">
      <w:pPr>
        <w:pStyle w:val="Heading2"/>
      </w:pPr>
      <w:r>
        <w:t xml:space="preserve">Mynd 1: </w:t>
      </w:r>
      <w:r w:rsidR="007A152A">
        <w:t xml:space="preserve">Áætlaðar og </w:t>
      </w:r>
      <w:r w:rsidR="00CF4EDE">
        <w:t>raun</w:t>
      </w:r>
      <w:r w:rsidR="001C2A7B">
        <w:t>g</w:t>
      </w:r>
      <w:r w:rsidR="003B471F" w:rsidRPr="00A03597">
        <w:t>reiðslur sveitarféla</w:t>
      </w:r>
      <w:r w:rsidR="001C2A7B">
        <w:t>ga og</w:t>
      </w:r>
      <w:bookmarkStart w:id="0" w:name="_GoBack"/>
      <w:bookmarkEnd w:id="0"/>
      <w:r w:rsidR="001C2A7B">
        <w:t xml:space="preserve"> Jöfnunarsjóðs</w:t>
      </w:r>
      <w:r w:rsidR="00CF4EDE">
        <w:t xml:space="preserve"> sveitarfélaga</w:t>
      </w:r>
      <w:r w:rsidR="001C2A7B">
        <w:t xml:space="preserve"> </w:t>
      </w:r>
      <w:r w:rsidR="000A1E21">
        <w:t>201</w:t>
      </w:r>
      <w:r w:rsidR="00571C31">
        <w:t>4</w:t>
      </w:r>
    </w:p>
    <w:p w:rsidR="00785175" w:rsidRDefault="00811D75" w:rsidP="004532D0">
      <w:pPr>
        <w:spacing w:after="120"/>
        <w:jc w:val="both"/>
      </w:pPr>
      <w:r>
        <w:t>Á grundvelli reglugerða</w:t>
      </w:r>
      <w:r w:rsidR="00785175">
        <w:t>r</w:t>
      </w:r>
      <w:r>
        <w:t xml:space="preserve">, nr. 150/2013, um framlög Jöfnunarsjóðs sveitarfélaga vegna húsaleigubóta </w:t>
      </w:r>
      <w:r w:rsidR="00785175">
        <w:t>skiluðu sveitarfélögin með rafrænum hætti fyrir 1. október 2013 áætlunum  sínum um heildargreiðslur almennra  húsaleigubóta á árinu 2014.</w:t>
      </w:r>
    </w:p>
    <w:p w:rsidR="00785175" w:rsidRDefault="00785175" w:rsidP="004532D0">
      <w:pPr>
        <w:spacing w:after="120"/>
        <w:jc w:val="both"/>
      </w:pPr>
      <w:r>
        <w:t>Áætlanir sveitarfélaga um heildargreiðslur almennra húsaleigubóta á árinu 2014 námu samtals 4,571,1 m.kr.</w:t>
      </w:r>
      <w:r w:rsidR="00720AE8">
        <w:t xml:space="preserve">  Að teknu tilliti til þess og áætlunar um ráðstöfunarfjármagn sjóðsins til greiðslu bótanna samþykkti  ráðgjafarnefnd sjóðsins að leggja til að kostnaðarhlutdeild Jöfnunarsjóðs sveitarfélaga  vegna almennra húsaleigubóta á árinu 2014 næmi 66%.</w:t>
      </w:r>
    </w:p>
    <w:p w:rsidR="004532D0" w:rsidRPr="00721F24" w:rsidRDefault="00720AE8" w:rsidP="004532D0">
      <w:pPr>
        <w:spacing w:after="120"/>
        <w:jc w:val="both"/>
        <w:rPr>
          <w:szCs w:val="18"/>
        </w:rPr>
      </w:pPr>
      <w:r>
        <w:rPr>
          <w:szCs w:val="18"/>
        </w:rPr>
        <w:t xml:space="preserve">Raungreiðslur sveitarfélaga á almennum húsaleigubótum á árinu 2014 námu samtals 4.617, 9 m.kr. og voru því </w:t>
      </w:r>
      <w:r w:rsidR="00721F24">
        <w:rPr>
          <w:szCs w:val="18"/>
        </w:rPr>
        <w:t xml:space="preserve">um 1% hærri en áætlanir gerðu ráð fyrir. </w:t>
      </w:r>
    </w:p>
    <w:p w:rsidR="004532D0" w:rsidRDefault="004532D0" w:rsidP="004532D0">
      <w:pPr>
        <w:spacing w:after="120"/>
        <w:jc w:val="both"/>
      </w:pPr>
      <w:r w:rsidRPr="005A3A4D">
        <w:t>Hlutdeild Jö</w:t>
      </w:r>
      <w:r>
        <w:t xml:space="preserve">fnunarsjóðs í þeim greiðslum nam </w:t>
      </w:r>
      <w:r w:rsidRPr="005A3A4D">
        <w:t xml:space="preserve"> </w:t>
      </w:r>
      <w:r>
        <w:t>6</w:t>
      </w:r>
      <w:r w:rsidR="00777449">
        <w:t>6</w:t>
      </w:r>
      <w:r w:rsidRPr="005A3A4D">
        <w:t>%</w:t>
      </w:r>
      <w:r>
        <w:t xml:space="preserve">, eins og áður segir eða </w:t>
      </w:r>
      <w:r w:rsidR="00315182">
        <w:t>3.047,8</w:t>
      </w:r>
      <w:r>
        <w:t xml:space="preserve"> m.kr. Við hverja ársfjórðungslega greiðslu kom 5% geymslufé til frádráttar sem nam  </w:t>
      </w:r>
      <w:r w:rsidR="00667B01">
        <w:t>152</w:t>
      </w:r>
      <w:r>
        <w:t>,</w:t>
      </w:r>
      <w:r w:rsidR="00721F24">
        <w:t>4 m.kr.</w:t>
      </w:r>
      <w:r w:rsidR="00080F9D">
        <w:t xml:space="preserve"> Þar sem greiðslur sveitarfélaganna stóðust áætlun</w:t>
      </w:r>
      <w:r w:rsidR="00C10CE7">
        <w:t xml:space="preserve"> </w:t>
      </w:r>
      <w:r w:rsidR="00080F9D">
        <w:t xml:space="preserve">var geymsluféð endurgreitt sveitarfélögunum </w:t>
      </w:r>
      <w:r w:rsidR="00FA769A">
        <w:t>25. janúar 2015.</w:t>
      </w:r>
      <w:r w:rsidR="00721F24">
        <w:t xml:space="preserve"> Auk þess</w:t>
      </w:r>
      <w:r>
        <w:t xml:space="preserve"> voru á árinu greiddar leiðréttingar vegna greiðslu framlaga á f</w:t>
      </w:r>
      <w:r w:rsidR="00667B01">
        <w:t>yr</w:t>
      </w:r>
      <w:r w:rsidR="00315182">
        <w:t>ri árum, samtals að fjárhæð 13,9</w:t>
      </w:r>
      <w:r>
        <w:t xml:space="preserve"> m.kr. Heildargreiðslur sjóðsins vegna almennra húsaleigubóta eftir ársfjórðungum á árinu 201</w:t>
      </w:r>
      <w:r w:rsidR="00667B01">
        <w:t>4</w:t>
      </w:r>
      <w:r>
        <w:t xml:space="preserve"> námu því samtals </w:t>
      </w:r>
      <w:r w:rsidR="00315182">
        <w:t>3.0</w:t>
      </w:r>
      <w:r w:rsidR="00F47745">
        <w:t>61,7</w:t>
      </w:r>
      <w:r>
        <w:t xml:space="preserve"> m.kr.</w:t>
      </w:r>
    </w:p>
    <w:p w:rsidR="00EC0A62" w:rsidRDefault="00543C82" w:rsidP="00EC0A62">
      <w:pPr>
        <w:jc w:val="both"/>
      </w:pPr>
      <w:r>
        <w:rPr>
          <w:b/>
          <w:noProof/>
          <w:color w:val="FF0000"/>
          <w:szCs w:val="18"/>
          <w:lang w:eastAsia="is-IS"/>
        </w:rPr>
        <w:drawing>
          <wp:inline distT="0" distB="0" distL="0" distR="0">
            <wp:extent cx="6715125" cy="2143125"/>
            <wp:effectExtent l="0" t="0" r="0" b="0"/>
            <wp:docPr id="33" name="Chart 33" descr="Á mynd eitt má sjá áætlaðar- og raungreiðslur sveitarfélaga og Jöfnunarsjóðs sveitarfélaga árið 2012. Sveitarfélögin áætluðu að greiða 3.659,5 m.kr. Á árinu 2012 greiddu þau samtals 3.568,0 m.kr. Hlutdeild Jöfnunarsjóðs var 54% eða 1.838,6 m.k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0597" w:rsidRDefault="00C30597" w:rsidP="00C30597">
      <w:pPr>
        <w:pStyle w:val="Heading2"/>
      </w:pPr>
      <w:r>
        <w:t xml:space="preserve">Mynd 2: </w:t>
      </w:r>
      <w:r w:rsidR="001C2A7B">
        <w:t>A</w:t>
      </w:r>
      <w:r w:rsidR="000A1E21">
        <w:t>lmennar húsaleigubætur árið 201</w:t>
      </w:r>
      <w:r w:rsidR="00667B01">
        <w:t>4</w:t>
      </w:r>
    </w:p>
    <w:p w:rsidR="00B94AD3" w:rsidRPr="00061A88" w:rsidRDefault="00B94AD3" w:rsidP="00B94AD3">
      <w:pPr>
        <w:spacing w:after="120"/>
        <w:jc w:val="both"/>
      </w:pPr>
      <w:r>
        <w:t>Á grundvelli fjáraukalaga 2014 varð hækkun á lögbundnum  framlögum frá ríki í Jöfnunarsjóð. Með tilvísun til þess var áætlað greiðsluhlutfall sjóðsins vegna almennra húsaleigubóta á árinu 2014 tekið til endurskoðunar og hækkað úr 66% í 68% eða um 92,4 m.kr. við uppgjör framlaga ársins 2014 sem fór fram 9. febrúar sl.  Heildargreiðslur Jöfnunarsjóðs vegna almennra húsaleigubóta á árinu 2014 námu því samtals 3.154,1 m.kr.</w:t>
      </w:r>
    </w:p>
    <w:p w:rsidR="00B94AD3" w:rsidRPr="00B94AD3" w:rsidRDefault="00CA1199" w:rsidP="00B94AD3">
      <w:r>
        <w:t xml:space="preserve"> </w:t>
      </w:r>
    </w:p>
    <w:p w:rsidR="007A152A" w:rsidRDefault="00FA769A">
      <w:pPr>
        <w:spacing w:after="200" w:line="276" w:lineRule="auto"/>
        <w:rPr>
          <w:rFonts w:eastAsiaTheme="majorEastAsia" w:cstheme="majorBidi"/>
          <w:b/>
          <w:bCs/>
          <w:sz w:val="20"/>
          <w:szCs w:val="26"/>
        </w:rPr>
      </w:pPr>
      <w:r>
        <w:rPr>
          <w:b/>
          <w:noProof/>
          <w:color w:val="FF0000"/>
          <w:szCs w:val="18"/>
          <w:lang w:eastAsia="is-IS"/>
        </w:rPr>
        <w:drawing>
          <wp:inline distT="0" distB="0" distL="0" distR="0" wp14:anchorId="7D2D8E28" wp14:editId="57B3848C">
            <wp:extent cx="6477000" cy="2505075"/>
            <wp:effectExtent l="0" t="0" r="0" b="0"/>
            <wp:docPr id="10" name="Chart 10" descr="Eftir leiðréttingar, útgreiðlsu geymslufjárs og uppgjörs nam heildargreiðsla Jöfnunarsjóðs sveitarfélaga vegna almennra húsaleigubóta á árinu 2012 alls 2.079,7 m.kr.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30597">
        <w:rPr>
          <w:noProof/>
          <w:lang w:eastAsia="is-IS"/>
        </w:rPr>
        <w:drawing>
          <wp:anchor distT="0" distB="0" distL="114300" distR="114300" simplePos="0" relativeHeight="251663360" behindDoc="0" locked="0" layoutInCell="1" allowOverlap="1" wp14:anchorId="166F1D77" wp14:editId="3FCA2124">
            <wp:simplePos x="0" y="0"/>
            <wp:positionH relativeFrom="column">
              <wp:posOffset>-457200</wp:posOffset>
            </wp:positionH>
            <wp:positionV relativeFrom="paragraph">
              <wp:posOffset>4271010</wp:posOffset>
            </wp:positionV>
            <wp:extent cx="5981700" cy="577850"/>
            <wp:effectExtent l="0" t="0" r="0" b="0"/>
            <wp:wrapSquare wrapText="bothSides"/>
            <wp:docPr id="8" name="Picture 8" descr="fo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533" w:rsidRDefault="00156533" w:rsidP="00083A6C">
      <w:pPr>
        <w:pStyle w:val="Heading2"/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-467360</wp:posOffset>
            </wp:positionV>
            <wp:extent cx="6172200" cy="598170"/>
            <wp:effectExtent l="0" t="0" r="0" b="0"/>
            <wp:wrapSquare wrapText="bothSides"/>
            <wp:docPr id="5" name="Picture 5" descr="fot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ur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471F" w:rsidRDefault="008870F9" w:rsidP="00083A6C">
      <w:pPr>
        <w:pStyle w:val="Heading2"/>
      </w:pPr>
      <w:r>
        <w:t xml:space="preserve">Mynd </w:t>
      </w:r>
      <w:r w:rsidR="00156533">
        <w:t>3</w:t>
      </w:r>
      <w:r>
        <w:t xml:space="preserve">: </w:t>
      </w:r>
      <w:r w:rsidR="003B471F" w:rsidRPr="00A03597">
        <w:t>Greiðslur sveitarfélaga á almennum húsaleigubótum ef</w:t>
      </w:r>
      <w:r w:rsidR="003B471F">
        <w:t>t</w:t>
      </w:r>
      <w:r w:rsidR="003B471F" w:rsidRPr="00A03597">
        <w:t>ir tegund húsnæðis</w:t>
      </w:r>
    </w:p>
    <w:p w:rsidR="00767440" w:rsidRDefault="00767440" w:rsidP="00767440">
      <w:pPr>
        <w:jc w:val="both"/>
      </w:pPr>
      <w:r>
        <w:t xml:space="preserve">Á </w:t>
      </w:r>
      <w:r w:rsidR="005F2F74">
        <w:t>árinu</w:t>
      </w:r>
      <w:r w:rsidR="000A1E21">
        <w:t xml:space="preserve"> 201</w:t>
      </w:r>
      <w:r w:rsidR="00A4385C">
        <w:t>4</w:t>
      </w:r>
      <w:r>
        <w:t xml:space="preserve"> greiddu sveitarfélögin</w:t>
      </w:r>
      <w:r w:rsidR="008A6A37">
        <w:t xml:space="preserve"> </w:t>
      </w:r>
      <w:r w:rsidR="003D15DB">
        <w:t xml:space="preserve">almennar </w:t>
      </w:r>
      <w:r w:rsidR="008A6A37">
        <w:t>húsaleigubætur að fjárhæð</w:t>
      </w:r>
      <w:r>
        <w:t xml:space="preserve"> </w:t>
      </w:r>
      <w:r w:rsidR="000A1E21">
        <w:t>2</w:t>
      </w:r>
      <w:r w:rsidR="00E233C7">
        <w:t>.</w:t>
      </w:r>
      <w:r w:rsidR="00EC6DA1">
        <w:t>638,9</w:t>
      </w:r>
      <w:r w:rsidR="002F6DC8">
        <w:t xml:space="preserve"> m.</w:t>
      </w:r>
      <w:r>
        <w:t xml:space="preserve">kr. til einstaklinga í almennum íbúðum, </w:t>
      </w:r>
      <w:r w:rsidR="000A1E21">
        <w:t>1</w:t>
      </w:r>
      <w:r w:rsidR="00E233C7">
        <w:t>.</w:t>
      </w:r>
      <w:r w:rsidR="00EC6DA1">
        <w:t>217,3</w:t>
      </w:r>
      <w:r w:rsidR="00E233C7">
        <w:t xml:space="preserve"> m.</w:t>
      </w:r>
      <w:r>
        <w:t xml:space="preserve">kr. til einstaklinga í félagslegum íbúðum, </w:t>
      </w:r>
      <w:r w:rsidR="00EC6DA1">
        <w:t>664,9</w:t>
      </w:r>
      <w:r w:rsidR="00E233C7">
        <w:t xml:space="preserve"> m.</w:t>
      </w:r>
      <w:r>
        <w:t xml:space="preserve">kr. til einstaklinga </w:t>
      </w:r>
      <w:r w:rsidR="002F6DC8">
        <w:t>á</w:t>
      </w:r>
      <w:r>
        <w:t xml:space="preserve"> námsgörðum/heimavistum og </w:t>
      </w:r>
      <w:r w:rsidR="00EC6DA1">
        <w:t>96,9</w:t>
      </w:r>
      <w:r>
        <w:t xml:space="preserve"> m. kr. til einstaklinga á sambýlum.</w:t>
      </w:r>
    </w:p>
    <w:p w:rsidR="003B471F" w:rsidRDefault="003B471F" w:rsidP="003B471F">
      <w:pPr>
        <w:spacing w:after="120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is-IS"/>
        </w:rPr>
        <w:drawing>
          <wp:inline distT="0" distB="0" distL="0" distR="0">
            <wp:extent cx="6657975" cy="3228975"/>
            <wp:effectExtent l="0" t="0" r="0" b="0"/>
            <wp:docPr id="11" name="Chart 11" descr="Á árinu 2012 greiddu sveitarfélögin 1.928,6 m. kr. til einstaklinga í almennum íbúðum, 1.070,5 m. kr. til einstaklinga í félagslegum íbúðum, 489,5 m. kr. til einstaklinga í námsgörðum/heimavistum og 79,4 m. kr. til einstaklinga á sambýlum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471F" w:rsidRDefault="00156533" w:rsidP="00083A6C">
      <w:pPr>
        <w:pStyle w:val="Heading2"/>
      </w:pPr>
      <w:r>
        <w:t>Mynd 4</w:t>
      </w:r>
      <w:r w:rsidR="008870F9">
        <w:t xml:space="preserve">: </w:t>
      </w:r>
      <w:r w:rsidR="003B471F" w:rsidRPr="007F17E3">
        <w:t>Fjöldi einstaklinga að meðaltali er nýtur almennra húsaleigubóta</w:t>
      </w:r>
    </w:p>
    <w:p w:rsidR="00707353" w:rsidRDefault="00767440" w:rsidP="00767440">
      <w:pPr>
        <w:jc w:val="both"/>
      </w:pPr>
      <w:r>
        <w:t>Á IV. ársfj</w:t>
      </w:r>
      <w:r w:rsidR="00B179B0">
        <w:t>.</w:t>
      </w:r>
      <w:r w:rsidR="000A1E21">
        <w:t xml:space="preserve"> 201</w:t>
      </w:r>
      <w:r w:rsidR="00EC6DA1">
        <w:t>4</w:t>
      </w:r>
      <w:r>
        <w:t xml:space="preserve"> nutu að meðaltali </w:t>
      </w:r>
      <w:r w:rsidR="000A1E21">
        <w:t>15.</w:t>
      </w:r>
      <w:r w:rsidR="00204597">
        <w:t>853</w:t>
      </w:r>
      <w:r>
        <w:t xml:space="preserve"> einsta</w:t>
      </w:r>
      <w:r w:rsidR="008A6A37">
        <w:t>klingar almennra húsaleigubóta. Fjölgun frá I. ársfj</w:t>
      </w:r>
      <w:r w:rsidR="00DF39E7">
        <w:t>.</w:t>
      </w:r>
      <w:r w:rsidR="000A1E21">
        <w:t xml:space="preserve"> 201</w:t>
      </w:r>
      <w:r w:rsidR="00EC6DA1">
        <w:t>4</w:t>
      </w:r>
      <w:r w:rsidR="008A6A37">
        <w:t xml:space="preserve"> </w:t>
      </w:r>
      <w:r w:rsidR="00E233C7">
        <w:t xml:space="preserve">var </w:t>
      </w:r>
      <w:r w:rsidR="008A6A37">
        <w:t xml:space="preserve">því </w:t>
      </w:r>
      <w:r w:rsidR="00204597">
        <w:t>656</w:t>
      </w:r>
      <w:r w:rsidR="00E65FFC">
        <w:t xml:space="preserve"> bótaþegar.</w:t>
      </w:r>
      <w:r w:rsidR="00E233C7">
        <w:t xml:space="preserve"> Á árinu 201</w:t>
      </w:r>
      <w:r w:rsidR="00EC6DA1">
        <w:t>4</w:t>
      </w:r>
      <w:r w:rsidR="00E233C7">
        <w:t xml:space="preserve"> nam fjöldi bótaþega </w:t>
      </w:r>
      <w:r w:rsidR="00204597">
        <w:t>15.362</w:t>
      </w:r>
      <w:r w:rsidR="00E233C7">
        <w:t xml:space="preserve"> að meðaltali.</w:t>
      </w:r>
    </w:p>
    <w:p w:rsidR="00767440" w:rsidRDefault="00767440" w:rsidP="00767440">
      <w:pPr>
        <w:jc w:val="both"/>
      </w:pPr>
    </w:p>
    <w:p w:rsidR="004B7894" w:rsidRPr="008870F9" w:rsidRDefault="00707353" w:rsidP="008870F9">
      <w:r>
        <w:rPr>
          <w:b/>
          <w:noProof/>
          <w:szCs w:val="20"/>
          <w:lang w:eastAsia="is-IS"/>
        </w:rPr>
        <w:drawing>
          <wp:inline distT="0" distB="0" distL="0" distR="0">
            <wp:extent cx="6657975" cy="1743075"/>
            <wp:effectExtent l="0" t="0" r="0" b="0"/>
            <wp:docPr id="14" name="Chart 14" descr="Á IV. ársfjórðungi 2012 nutu að meðaltali 14.409 einstaklingar almennra húsaleigubót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7353" w:rsidRDefault="00707353" w:rsidP="00AE633A">
      <w:pPr>
        <w:pStyle w:val="Heading2"/>
      </w:pPr>
    </w:p>
    <w:p w:rsidR="00AE633A" w:rsidRDefault="00156533" w:rsidP="00AE633A">
      <w:pPr>
        <w:pStyle w:val="Heading2"/>
      </w:pPr>
      <w:r>
        <w:t>Mynd 5</w:t>
      </w:r>
      <w:r w:rsidR="00AE633A">
        <w:t xml:space="preserve">: </w:t>
      </w:r>
      <w:r w:rsidR="00AE633A" w:rsidRPr="007F17E3">
        <w:t>Fjöldi einstaklinga að meðaltali er nýtur almennra húsaleigubóta</w:t>
      </w:r>
      <w:r w:rsidR="00AE633A">
        <w:t xml:space="preserve"> eftir tegund leiguhúsnæðis</w:t>
      </w:r>
    </w:p>
    <w:p w:rsidR="00767440" w:rsidRDefault="00CF4EDE" w:rsidP="00767440">
      <w:pPr>
        <w:jc w:val="both"/>
      </w:pPr>
      <w:r>
        <w:rPr>
          <w:b/>
          <w:noProof/>
          <w:sz w:val="22"/>
          <w:szCs w:val="22"/>
          <w:lang w:eastAsia="is-I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3211830</wp:posOffset>
            </wp:positionV>
            <wp:extent cx="5981700" cy="577850"/>
            <wp:effectExtent l="0" t="0" r="0" b="0"/>
            <wp:wrapSquare wrapText="bothSides"/>
            <wp:docPr id="21" name="Picture 21" descr="fo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2E95">
        <w:t xml:space="preserve">Flestir sem nutu </w:t>
      </w:r>
      <w:r w:rsidR="00A849D3">
        <w:t>almennra húsaleigubóta á árinu</w:t>
      </w:r>
      <w:r w:rsidR="008A4E12">
        <w:t xml:space="preserve"> </w:t>
      </w:r>
      <w:r w:rsidR="002469D7">
        <w:t>2014</w:t>
      </w:r>
      <w:r w:rsidR="00A849D3">
        <w:t xml:space="preserve"> bjuggu </w:t>
      </w:r>
      <w:r w:rsidR="008A4E12">
        <w:t>í almennum íbúðum.</w:t>
      </w:r>
    </w:p>
    <w:p w:rsidR="00E83968" w:rsidRPr="008870F9" w:rsidRDefault="007C11FE" w:rsidP="006D713E">
      <w:pPr>
        <w:jc w:val="both"/>
      </w:pPr>
      <w:r>
        <w:rPr>
          <w:b/>
          <w:noProof/>
          <w:color w:val="FF0000"/>
          <w:sz w:val="20"/>
          <w:szCs w:val="20"/>
          <w:lang w:eastAsia="is-IS"/>
        </w:rPr>
        <w:drawing>
          <wp:inline distT="0" distB="0" distL="0" distR="0">
            <wp:extent cx="6657975" cy="2057400"/>
            <wp:effectExtent l="0" t="0" r="0" b="0"/>
            <wp:docPr id="15" name="Chart 15" descr="Af þeim 14.409 einstaklingum sem að meðaltali nutu almennra húsaleigubóta á IV. ársfjórðungi 2012 voru að meðaltali 7.714 einstaklingar í almennum íbúðum, 3.778 einstaklingar í félagslegum íbúðum, 2.427 einstaklingar í námsgörðum/heimavistum og 490 einstaklingar í sambýlum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0597" w:rsidRDefault="00CF4EDE" w:rsidP="00083A6C">
      <w:pPr>
        <w:pStyle w:val="Heading2"/>
        <w:rPr>
          <w:rFonts w:eastAsia="Times New Roman" w:cs="Times New Roman"/>
          <w:bCs w:val="0"/>
          <w:szCs w:val="20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-452120</wp:posOffset>
            </wp:positionV>
            <wp:extent cx="6172200" cy="598170"/>
            <wp:effectExtent l="0" t="0" r="0" b="0"/>
            <wp:wrapSquare wrapText="bothSides"/>
            <wp:docPr id="20" name="Picture 20" descr="fot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ur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471F" w:rsidRDefault="00156533" w:rsidP="00083A6C">
      <w:pPr>
        <w:pStyle w:val="Heading2"/>
      </w:pPr>
      <w:r>
        <w:t>Mynd 6</w:t>
      </w:r>
      <w:r w:rsidR="008870F9">
        <w:t xml:space="preserve">: </w:t>
      </w:r>
      <w:r w:rsidR="003B471F" w:rsidRPr="007F17E3">
        <w:t xml:space="preserve">Meðaltal greiddrar húsaleigu á mánuði </w:t>
      </w:r>
      <w:r w:rsidR="002469D7">
        <w:t>á árinu 2014</w:t>
      </w:r>
      <w:r w:rsidR="00BC2E95">
        <w:t xml:space="preserve"> </w:t>
      </w:r>
      <w:r w:rsidR="003B471F" w:rsidRPr="007F17E3">
        <w:t>eftir tegund leiguhúsnæðis</w:t>
      </w:r>
    </w:p>
    <w:p w:rsidR="00895B25" w:rsidRDefault="00895B25" w:rsidP="00895B25">
      <w:pPr>
        <w:spacing w:after="120"/>
        <w:jc w:val="both"/>
        <w:rPr>
          <w:szCs w:val="18"/>
        </w:rPr>
      </w:pPr>
      <w:r w:rsidRPr="00A951F2">
        <w:rPr>
          <w:szCs w:val="18"/>
        </w:rPr>
        <w:t>Meðaltal húsaleigu tekur mið af greiðslum þeirra er njóta almennra húsaleigubóta. Ekki er tekið till</w:t>
      </w:r>
      <w:r>
        <w:rPr>
          <w:szCs w:val="18"/>
        </w:rPr>
        <w:t>it til stærðar íbúða við útreik</w:t>
      </w:r>
      <w:r w:rsidRPr="00A951F2">
        <w:rPr>
          <w:szCs w:val="18"/>
        </w:rPr>
        <w:t>ning á með</w:t>
      </w:r>
      <w:r w:rsidR="008A4E12">
        <w:rPr>
          <w:szCs w:val="18"/>
        </w:rPr>
        <w:t>altalinu.</w:t>
      </w:r>
    </w:p>
    <w:p w:rsidR="00E83968" w:rsidRPr="008870F9" w:rsidRDefault="00E83968" w:rsidP="008870F9"/>
    <w:p w:rsidR="003B471F" w:rsidRPr="00A951F2" w:rsidRDefault="003B471F" w:rsidP="00895B25">
      <w:pPr>
        <w:spacing w:after="120"/>
        <w:jc w:val="both"/>
        <w:rPr>
          <w:szCs w:val="18"/>
        </w:rPr>
      </w:pPr>
      <w:r>
        <w:rPr>
          <w:b/>
          <w:noProof/>
          <w:color w:val="FF0000"/>
          <w:sz w:val="20"/>
          <w:szCs w:val="20"/>
          <w:lang w:eastAsia="is-IS"/>
        </w:rPr>
        <w:drawing>
          <wp:inline distT="0" distB="0" distL="0" distR="0">
            <wp:extent cx="6657975" cy="2447925"/>
            <wp:effectExtent l="0" t="0" r="0" b="0"/>
            <wp:docPr id="16" name="Chart 16" descr="Á IV. ársfjórðungi 2012 greiddu einstaklingar í almennum íbúðum að meðaltali 98.574 kr. í húsaleigu, einstaklingar í félagslegum íbúðum að meðaltali 87.190 kr., einstaklingar í námsgörðum/heimavistum að meðaltali 60.378 kr. og einstaklingar á sambýlum að meðaltali 34.941 k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F4EDE" w:rsidRDefault="00156533" w:rsidP="00CF4EDE">
      <w:pPr>
        <w:pStyle w:val="Heading2"/>
      </w:pPr>
      <w:r>
        <w:t>Mynd 7</w:t>
      </w:r>
      <w:r w:rsidR="00CF4EDE">
        <w:t xml:space="preserve">: </w:t>
      </w:r>
      <w:r w:rsidR="00CF4EDE" w:rsidRPr="00A03597">
        <w:t xml:space="preserve">Greiðslur sveitarfélaga á almennum húsaleigubótum </w:t>
      </w:r>
      <w:r w:rsidR="00CF4EDE">
        <w:t>frá árinu 1998</w:t>
      </w:r>
    </w:p>
    <w:p w:rsidR="0009444D" w:rsidRDefault="0009444D" w:rsidP="0009444D">
      <w:pPr>
        <w:spacing w:after="120"/>
        <w:jc w:val="both"/>
        <w:rPr>
          <w:szCs w:val="18"/>
        </w:rPr>
      </w:pPr>
      <w:r>
        <w:rPr>
          <w:szCs w:val="18"/>
        </w:rPr>
        <w:t>Framkvæmd húsaleigubótakerfisins er verkefni sveitarfélaga og fjármagnað af þeim og Jöfnunarsjóði sveitarfélaga, sbr. lög um húsaleigubætur, nr. 138/1997, með síðari breytingum og reglugerð</w:t>
      </w:r>
      <w:r w:rsidR="00E233C7">
        <w:rPr>
          <w:szCs w:val="18"/>
        </w:rPr>
        <w:t xml:space="preserve"> velferðarráðuneytisins</w:t>
      </w:r>
      <w:r>
        <w:rPr>
          <w:szCs w:val="18"/>
        </w:rPr>
        <w:t xml:space="preserve"> um húsaleigubætur, nr. 118/2003</w:t>
      </w:r>
      <w:r w:rsidR="002F6DC8">
        <w:rPr>
          <w:szCs w:val="18"/>
        </w:rPr>
        <w:t xml:space="preserve"> með síðari breytingum</w:t>
      </w:r>
      <w:r>
        <w:rPr>
          <w:szCs w:val="18"/>
        </w:rPr>
        <w:t>. Nánar er kveðið á um framlög Jöfnunarsjóðs sveitarfélaga vegna húsaleigubóta í reglugerð nr.</w:t>
      </w:r>
      <w:r w:rsidR="003D15DB">
        <w:rPr>
          <w:szCs w:val="18"/>
        </w:rPr>
        <w:t xml:space="preserve"> </w:t>
      </w:r>
      <w:r w:rsidR="004A0C4B">
        <w:rPr>
          <w:szCs w:val="18"/>
        </w:rPr>
        <w:t>150/2013</w:t>
      </w:r>
      <w:r w:rsidR="006F1B0F">
        <w:rPr>
          <w:szCs w:val="18"/>
        </w:rPr>
        <w:t xml:space="preserve"> með síðari breytingum</w:t>
      </w:r>
      <w:r w:rsidR="003D15DB">
        <w:rPr>
          <w:szCs w:val="18"/>
        </w:rPr>
        <w:t>.</w:t>
      </w:r>
    </w:p>
    <w:p w:rsidR="0009444D" w:rsidRDefault="00CF4EDE" w:rsidP="00CF4EDE">
      <w:pPr>
        <w:jc w:val="both"/>
      </w:pPr>
      <w:r>
        <w:t>Á myndinni má sjá greiðslur sveitarfélaga á almennum húsaleigubótum frá árinu 1998 til ársins 201</w:t>
      </w:r>
      <w:r w:rsidR="004622D8">
        <w:t>4 miðað við verðlag ársins 2014</w:t>
      </w:r>
      <w:r w:rsidR="003D15DB">
        <w:t xml:space="preserve"> og fjölda bótaþega</w:t>
      </w:r>
      <w:r>
        <w:t>. Miðað er við meðaltal vísitölu hvers árs. Heildargreiðslur sveitarfélaga</w:t>
      </w:r>
      <w:r w:rsidR="004A0C4B">
        <w:t xml:space="preserve"> á almennum húsaleigubótum</w:t>
      </w:r>
      <w:r w:rsidR="004622D8">
        <w:t xml:space="preserve"> árið 2014</w:t>
      </w:r>
      <w:r w:rsidR="003D15DB">
        <w:t xml:space="preserve"> voru </w:t>
      </w:r>
      <w:r w:rsidR="008C5861">
        <w:t>4.617,9</w:t>
      </w:r>
      <w:r w:rsidR="003D15DB">
        <w:t xml:space="preserve"> m. kr. og fjöldi bótaþega </w:t>
      </w:r>
      <w:r w:rsidR="008C5861">
        <w:t>15.362</w:t>
      </w:r>
      <w:r w:rsidR="003D15DB">
        <w:t xml:space="preserve"> að meðaltali.</w:t>
      </w:r>
    </w:p>
    <w:p w:rsidR="00C30597" w:rsidRDefault="00CF4EDE" w:rsidP="007C11FE">
      <w:pPr>
        <w:pStyle w:val="Heading2"/>
      </w:pPr>
      <w:r>
        <w:rPr>
          <w:b w:val="0"/>
          <w:noProof/>
          <w:color w:val="FF0000"/>
          <w:szCs w:val="18"/>
          <w:lang w:eastAsia="is-IS"/>
        </w:rPr>
        <w:drawing>
          <wp:anchor distT="0" distB="0" distL="114300" distR="114300" simplePos="0" relativeHeight="251671552" behindDoc="1" locked="0" layoutInCell="1" allowOverlap="1" wp14:anchorId="3331F1F1" wp14:editId="1E1B752F">
            <wp:simplePos x="0" y="0"/>
            <wp:positionH relativeFrom="column">
              <wp:posOffset>-66675</wp:posOffset>
            </wp:positionH>
            <wp:positionV relativeFrom="paragraph">
              <wp:posOffset>90805</wp:posOffset>
            </wp:positionV>
            <wp:extent cx="6972300" cy="4076700"/>
            <wp:effectExtent l="0" t="0" r="0" b="0"/>
            <wp:wrapThrough wrapText="bothSides">
              <wp:wrapPolygon edited="0">
                <wp:start x="11213" y="404"/>
                <wp:lineTo x="59" y="1918"/>
                <wp:lineTo x="118" y="12213"/>
                <wp:lineTo x="1889" y="13525"/>
                <wp:lineTo x="118" y="13525"/>
                <wp:lineTo x="177" y="14030"/>
                <wp:lineTo x="10800" y="15140"/>
                <wp:lineTo x="531" y="15140"/>
                <wp:lineTo x="531" y="15645"/>
                <wp:lineTo x="10800" y="16755"/>
                <wp:lineTo x="1062" y="16755"/>
                <wp:lineTo x="944" y="17058"/>
                <wp:lineTo x="1889" y="18370"/>
                <wp:lineTo x="944" y="19985"/>
                <wp:lineTo x="708" y="20591"/>
                <wp:lineTo x="1062" y="20793"/>
                <wp:lineTo x="12689" y="21196"/>
                <wp:lineTo x="18944" y="21196"/>
                <wp:lineTo x="19003" y="20994"/>
                <wp:lineTo x="19593" y="19985"/>
                <wp:lineTo x="20420" y="18370"/>
                <wp:lineTo x="20833" y="18067"/>
                <wp:lineTo x="20479" y="17664"/>
                <wp:lineTo x="10741" y="16755"/>
                <wp:lineTo x="10741" y="15140"/>
                <wp:lineTo x="2951" y="13525"/>
                <wp:lineTo x="3423" y="13525"/>
                <wp:lineTo x="6669" y="12112"/>
                <wp:lineTo x="6669" y="11910"/>
                <wp:lineTo x="7908" y="10800"/>
                <wp:lineTo x="7731" y="10497"/>
                <wp:lineTo x="1711" y="10295"/>
                <wp:lineTo x="13751" y="9185"/>
                <wp:lineTo x="13987" y="8680"/>
                <wp:lineTo x="12630" y="8680"/>
                <wp:lineTo x="12807" y="7873"/>
                <wp:lineTo x="11036" y="7671"/>
                <wp:lineTo x="1711" y="7065"/>
                <wp:lineTo x="15049" y="6763"/>
                <wp:lineTo x="15049" y="6258"/>
                <wp:lineTo x="1711" y="5450"/>
                <wp:lineTo x="19770" y="4441"/>
                <wp:lineTo x="20066" y="3936"/>
                <wp:lineTo x="19062" y="3836"/>
                <wp:lineTo x="21069" y="2523"/>
                <wp:lineTo x="21069" y="2120"/>
                <wp:lineTo x="13161" y="807"/>
                <wp:lineTo x="11508" y="404"/>
                <wp:lineTo x="11213" y="404"/>
              </wp:wrapPolygon>
            </wp:wrapThrough>
            <wp:docPr id="22" name="Chart 22" descr="Á myndinni má sjá greiðslur sveitarfélaga á almennum húsaleigubótum frá árinu 1998 til ársins 2012 miðað við verðlag ársins 2012. Miðað er við meðaltal vísitölu hvers árs. Heildargreiðslur sveitarfélaga árið 2012 voru 3.568 m. k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:rsidR="00C30597" w:rsidRDefault="00C30597" w:rsidP="007C11FE">
      <w:pPr>
        <w:pStyle w:val="Heading2"/>
      </w:pPr>
    </w:p>
    <w:p w:rsidR="00C30597" w:rsidRDefault="00C30597" w:rsidP="007C11FE">
      <w:pPr>
        <w:pStyle w:val="Heading2"/>
      </w:pPr>
    </w:p>
    <w:p w:rsidR="00B424E1" w:rsidRDefault="0009444D">
      <w:pPr>
        <w:spacing w:after="200" w:line="276" w:lineRule="auto"/>
        <w:rPr>
          <w:rFonts w:eastAsiaTheme="majorEastAsia" w:cstheme="majorBidi"/>
          <w:b/>
          <w:bCs/>
          <w:sz w:val="20"/>
          <w:szCs w:val="26"/>
        </w:rPr>
      </w:pPr>
      <w:r>
        <w:rPr>
          <w:b/>
          <w:noProof/>
          <w:sz w:val="22"/>
          <w:szCs w:val="22"/>
          <w:lang w:eastAsia="is-IS"/>
        </w:rPr>
        <w:drawing>
          <wp:anchor distT="0" distB="0" distL="114300" distR="114300" simplePos="0" relativeHeight="251680768" behindDoc="0" locked="0" layoutInCell="1" allowOverlap="1" wp14:anchorId="1E6B3C41" wp14:editId="12F35B97">
            <wp:simplePos x="0" y="0"/>
            <wp:positionH relativeFrom="column">
              <wp:posOffset>-5666740</wp:posOffset>
            </wp:positionH>
            <wp:positionV relativeFrom="paragraph">
              <wp:posOffset>3810000</wp:posOffset>
            </wp:positionV>
            <wp:extent cx="5981700" cy="577850"/>
            <wp:effectExtent l="0" t="0" r="0" b="0"/>
            <wp:wrapSquare wrapText="bothSides"/>
            <wp:docPr id="4" name="Picture 4" descr="fo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597">
        <w:br w:type="page"/>
      </w:r>
    </w:p>
    <w:p w:rsidR="00F631EE" w:rsidRDefault="00F631EE" w:rsidP="00083A6C">
      <w:pPr>
        <w:pStyle w:val="Heading1"/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927100</wp:posOffset>
            </wp:positionH>
            <wp:positionV relativeFrom="paragraph">
              <wp:posOffset>-468630</wp:posOffset>
            </wp:positionV>
            <wp:extent cx="6172200" cy="598170"/>
            <wp:effectExtent l="0" t="0" r="0" b="0"/>
            <wp:wrapSquare wrapText="bothSides"/>
            <wp:docPr id="6" name="Picture 6" descr="fot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ur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471F" w:rsidRPr="000D4D3C" w:rsidRDefault="003B471F" w:rsidP="00083A6C">
      <w:pPr>
        <w:pStyle w:val="Heading1"/>
      </w:pPr>
      <w:r w:rsidRPr="00492D67">
        <w:t>Sérstakar húsaleigubætur</w:t>
      </w:r>
    </w:p>
    <w:p w:rsidR="003B471F" w:rsidRDefault="003B471F" w:rsidP="00F23E46">
      <w:pPr>
        <w:spacing w:after="120"/>
        <w:jc w:val="both"/>
        <w:rPr>
          <w:szCs w:val="18"/>
        </w:rPr>
      </w:pPr>
      <w:r w:rsidRPr="00492D67">
        <w:rPr>
          <w:szCs w:val="18"/>
        </w:rPr>
        <w:t xml:space="preserve">Með samkomulagi ríkis og sveitarfélaga um húsaleigubætur er tók gildi 1. apríl 2008 kemur ríkið að greiðslu sérstakra húsaleigubóta með </w:t>
      </w:r>
      <w:r w:rsidR="000A1E21">
        <w:rPr>
          <w:szCs w:val="18"/>
        </w:rPr>
        <w:t xml:space="preserve">60% þátttöku. </w:t>
      </w:r>
      <w:r w:rsidR="004A0C4B">
        <w:rPr>
          <w:szCs w:val="18"/>
        </w:rPr>
        <w:t>Alls greiddu 2</w:t>
      </w:r>
      <w:r w:rsidR="00E45B28">
        <w:rPr>
          <w:szCs w:val="18"/>
        </w:rPr>
        <w:t>9</w:t>
      </w:r>
      <w:r w:rsidRPr="00492D67">
        <w:rPr>
          <w:szCs w:val="18"/>
        </w:rPr>
        <w:t xml:space="preserve"> sveitarfélög sérstakar húsaleigubætur </w:t>
      </w:r>
      <w:r w:rsidR="00E45B28">
        <w:rPr>
          <w:szCs w:val="18"/>
        </w:rPr>
        <w:t>árið 2014</w:t>
      </w:r>
      <w:r w:rsidRPr="00492D67">
        <w:rPr>
          <w:szCs w:val="18"/>
        </w:rPr>
        <w:t>.</w:t>
      </w:r>
    </w:p>
    <w:p w:rsidR="004C7C3A" w:rsidRPr="00492D67" w:rsidRDefault="004C7C3A" w:rsidP="00F23E46">
      <w:pPr>
        <w:spacing w:after="120"/>
        <w:jc w:val="both"/>
        <w:rPr>
          <w:szCs w:val="18"/>
        </w:rPr>
      </w:pPr>
    </w:p>
    <w:p w:rsidR="003B471F" w:rsidRDefault="00156533" w:rsidP="00083A6C">
      <w:pPr>
        <w:pStyle w:val="Heading2"/>
      </w:pPr>
      <w:r>
        <w:t>Mynd 8</w:t>
      </w:r>
      <w:r w:rsidR="008870F9">
        <w:t xml:space="preserve">: </w:t>
      </w:r>
      <w:r w:rsidR="00B2329F">
        <w:t xml:space="preserve">Áætlanir og </w:t>
      </w:r>
      <w:r w:rsidR="003D15DB">
        <w:t>raun</w:t>
      </w:r>
      <w:r w:rsidR="00B2329F">
        <w:t>g</w:t>
      </w:r>
      <w:r w:rsidR="003B471F" w:rsidRPr="00492D67">
        <w:t xml:space="preserve">reiðslur sveitarfélaga </w:t>
      </w:r>
      <w:r w:rsidR="00B2329F">
        <w:t xml:space="preserve">og </w:t>
      </w:r>
      <w:r w:rsidR="00B2329F" w:rsidRPr="00492D67">
        <w:t>Jöfnunarsjóðs sveitarfélaga</w:t>
      </w:r>
      <w:r w:rsidR="00B2329F">
        <w:t xml:space="preserve"> </w:t>
      </w:r>
      <w:r w:rsidR="003B471F" w:rsidRPr="00492D67">
        <w:t xml:space="preserve">á sérstökum húsaleigubótum </w:t>
      </w:r>
      <w:r w:rsidR="00B2329F">
        <w:t xml:space="preserve">árið </w:t>
      </w:r>
      <w:r w:rsidR="00E45B28">
        <w:t>2014</w:t>
      </w:r>
    </w:p>
    <w:p w:rsidR="008870F9" w:rsidRDefault="00B2329F" w:rsidP="001222A4">
      <w:pPr>
        <w:jc w:val="both"/>
      </w:pPr>
      <w:r>
        <w:t xml:space="preserve">Upphaflega áætluðu sveitarfélögin að greiða </w:t>
      </w:r>
      <w:r w:rsidR="00E45B28">
        <w:t>1.317,7</w:t>
      </w:r>
      <w:r>
        <w:t xml:space="preserve"> m. kr. í s</w:t>
      </w:r>
      <w:r w:rsidR="000A1E21">
        <w:t xml:space="preserve">érstakar </w:t>
      </w:r>
      <w:r w:rsidR="004A0C4B">
        <w:t>húsaleigubætur</w:t>
      </w:r>
      <w:r w:rsidR="00E45B28">
        <w:t xml:space="preserve"> árið 2014</w:t>
      </w:r>
      <w:r>
        <w:t xml:space="preserve">. </w:t>
      </w:r>
      <w:r w:rsidR="001222A4">
        <w:t xml:space="preserve">Samtals greiddu </w:t>
      </w:r>
      <w:r w:rsidR="00B02113">
        <w:t>þau</w:t>
      </w:r>
      <w:r w:rsidR="009C5560">
        <w:t xml:space="preserve"> </w:t>
      </w:r>
      <w:r w:rsidR="00E45B28">
        <w:t>1.345</w:t>
      </w:r>
      <w:r w:rsidR="000A1E21">
        <w:t>,</w:t>
      </w:r>
      <w:r w:rsidR="00E45B28">
        <w:t>8</w:t>
      </w:r>
      <w:r w:rsidR="00A849D3">
        <w:t xml:space="preserve"> m.</w:t>
      </w:r>
      <w:r w:rsidR="00305D0E">
        <w:t>kr.</w:t>
      </w:r>
      <w:r w:rsidR="00A849D3">
        <w:t xml:space="preserve"> </w:t>
      </w:r>
      <w:r w:rsidR="00B02113">
        <w:t xml:space="preserve"> eða </w:t>
      </w:r>
      <w:r w:rsidR="00E45B28">
        <w:t>2,14</w:t>
      </w:r>
      <w:r w:rsidR="00B02113">
        <w:t xml:space="preserve">% umfram </w:t>
      </w:r>
      <w:r w:rsidR="00543C82">
        <w:t xml:space="preserve">upphaflega </w:t>
      </w:r>
      <w:r w:rsidR="00B02113">
        <w:t>áætlun</w:t>
      </w:r>
      <w:r w:rsidR="001222A4">
        <w:t>. Kostnaðarþátttaka Jöfnunarsjóðs sveitarfélaga í greiðslu</w:t>
      </w:r>
      <w:r w:rsidR="00A849D3">
        <w:t xml:space="preserve">m </w:t>
      </w:r>
      <w:r w:rsidR="001222A4">
        <w:t xml:space="preserve"> sveitarfélaganna var 60% eða samta</w:t>
      </w:r>
      <w:r w:rsidR="008F3D0A">
        <w:t xml:space="preserve">ls </w:t>
      </w:r>
      <w:r w:rsidR="00E45B28">
        <w:t>807,5</w:t>
      </w:r>
      <w:r w:rsidR="00305D0E">
        <w:t xml:space="preserve"> m. kr</w:t>
      </w:r>
      <w:r w:rsidR="001222A4">
        <w:t>.</w:t>
      </w:r>
      <w:r w:rsidR="004C7C3A">
        <w:t xml:space="preserve"> að viðbættum leiðréttingum vegna fyrri ára að fjárhæð 2,0 m.kr. eða samtals 809,5 m.kr.</w:t>
      </w:r>
    </w:p>
    <w:p w:rsidR="00B2329F" w:rsidRDefault="00B2329F" w:rsidP="001222A4">
      <w:pPr>
        <w:jc w:val="both"/>
      </w:pPr>
    </w:p>
    <w:p w:rsidR="00B2329F" w:rsidRPr="008870F9" w:rsidRDefault="00B2329F" w:rsidP="001222A4">
      <w:pPr>
        <w:jc w:val="both"/>
      </w:pPr>
    </w:p>
    <w:p w:rsidR="003B471F" w:rsidRDefault="00B2329F" w:rsidP="003B471F">
      <w:pPr>
        <w:spacing w:after="120"/>
        <w:rPr>
          <w:b/>
          <w:sz w:val="20"/>
          <w:szCs w:val="20"/>
        </w:rPr>
      </w:pPr>
      <w:r>
        <w:rPr>
          <w:b/>
          <w:noProof/>
          <w:color w:val="FF0000"/>
          <w:szCs w:val="18"/>
          <w:lang w:eastAsia="is-IS"/>
        </w:rPr>
        <w:drawing>
          <wp:inline distT="0" distB="0" distL="0" distR="0" wp14:anchorId="3378AD93" wp14:editId="37A79F58">
            <wp:extent cx="6791325" cy="4010025"/>
            <wp:effectExtent l="0" t="0" r="0" b="0"/>
            <wp:docPr id="13" name="Chart 13" descr="Upphaflega áætluðu sveitarfélögin að greiða 1.095,1 m. kr. í sérstakar húsleigubætur árið 2012. Samtals greiddu þau 1.133,2 m. kr., eða 3,5% umfram upphaflega áætlun. Kostnaðarþátttaka Jöfnunarsjóðs sveitarfélaga í greiðslu sveitarfélaganna var 60% eða samtals 679,9 m. k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6DC8" w:rsidRDefault="002F6DC8" w:rsidP="002F6DC8">
      <w:pPr>
        <w:pStyle w:val="Heading2"/>
      </w:pPr>
      <w:r>
        <w:t xml:space="preserve">Mynd 9: </w:t>
      </w:r>
      <w:r w:rsidRPr="00492D67">
        <w:t>Greiðslur sveitarfélaga á sé</w:t>
      </w:r>
      <w:r>
        <w:t>r</w:t>
      </w:r>
      <w:r w:rsidRPr="00492D67">
        <w:t>stökum húsaleigubótum eftir tegund leiguhúsnæðis</w:t>
      </w:r>
    </w:p>
    <w:p w:rsidR="002F6DC8" w:rsidRDefault="00E8385D" w:rsidP="002F6DC8">
      <w:pPr>
        <w:jc w:val="both"/>
        <w:rPr>
          <w:b/>
          <w:noProof/>
          <w:color w:val="FF0000"/>
          <w:sz w:val="20"/>
          <w:szCs w:val="20"/>
          <w:lang w:eastAsia="is-IS"/>
        </w:rPr>
      </w:pPr>
      <w:r>
        <w:t>Á árinu 2014</w:t>
      </w:r>
      <w:r w:rsidR="002F6DC8">
        <w:t xml:space="preserve"> greiddu sveitarfélögin sérstakar húsaleigubætur að fjárhæð </w:t>
      </w:r>
      <w:r w:rsidR="006F1DE8">
        <w:t>646,2</w:t>
      </w:r>
      <w:r w:rsidR="002F6DC8">
        <w:t xml:space="preserve"> m.kr. til einstaklinga í almennum íbúðum, </w:t>
      </w:r>
      <w:r w:rsidR="006F1DE8">
        <w:t>683</w:t>
      </w:r>
      <w:r w:rsidR="002F6DC8">
        <w:t xml:space="preserve"> m.kr. til einstaklinga í félagslegum íbúðum, </w:t>
      </w:r>
      <w:r w:rsidR="006F1DE8">
        <w:t>13,9</w:t>
      </w:r>
      <w:r w:rsidR="002F6DC8">
        <w:t xml:space="preserve"> m.kr. til einstaklinga á námsgörðum/heimavistum og </w:t>
      </w:r>
      <w:r w:rsidR="006F1DE8">
        <w:t>2,7</w:t>
      </w:r>
      <w:r w:rsidR="002F6DC8">
        <w:t xml:space="preserve"> m. kr. til einstaklinga á sambýlum.</w:t>
      </w:r>
      <w:r w:rsidR="002F6DC8" w:rsidRPr="002F6DC8">
        <w:rPr>
          <w:b/>
          <w:noProof/>
          <w:color w:val="FF0000"/>
          <w:sz w:val="20"/>
          <w:szCs w:val="20"/>
          <w:lang w:eastAsia="is-IS"/>
        </w:rPr>
        <w:t xml:space="preserve"> </w:t>
      </w:r>
    </w:p>
    <w:p w:rsidR="002F6DC8" w:rsidRDefault="00F47745" w:rsidP="002F6DC8">
      <w:pPr>
        <w:jc w:val="both"/>
      </w:pPr>
      <w:r>
        <w:rPr>
          <w:noProof/>
          <w:lang w:eastAsia="is-IS"/>
        </w:rPr>
        <w:drawing>
          <wp:anchor distT="0" distB="0" distL="114300" distR="114300" simplePos="0" relativeHeight="251686912" behindDoc="0" locked="0" layoutInCell="1" allowOverlap="1" wp14:anchorId="72E3CCC9" wp14:editId="28343C1F">
            <wp:simplePos x="0" y="0"/>
            <wp:positionH relativeFrom="column">
              <wp:posOffset>-457200</wp:posOffset>
            </wp:positionH>
            <wp:positionV relativeFrom="paragraph">
              <wp:posOffset>2658745</wp:posOffset>
            </wp:positionV>
            <wp:extent cx="5981700" cy="577850"/>
            <wp:effectExtent l="0" t="0" r="0" b="0"/>
            <wp:wrapSquare wrapText="bothSides"/>
            <wp:docPr id="9" name="Picture 9" descr="fo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DC8">
        <w:rPr>
          <w:b/>
          <w:noProof/>
          <w:color w:val="FF0000"/>
          <w:sz w:val="20"/>
          <w:szCs w:val="20"/>
          <w:lang w:eastAsia="is-IS"/>
        </w:rPr>
        <w:drawing>
          <wp:inline distT="0" distB="0" distL="0" distR="0" wp14:anchorId="7F72A844" wp14:editId="6CAE3994">
            <wp:extent cx="6610350" cy="2619375"/>
            <wp:effectExtent l="0" t="0" r="0" b="0"/>
            <wp:docPr id="17" name="Chart 17" descr="Á IV. ársfjórðungi 2012 greiddu sveitarfélögin 133,8 m. kr. í sérstakar húsaleigubætur til almennra íbúða, 156,8 m. kr. til félagslegra íbúða, 1,4 m. kr. til námsgarða/heimavista og 0,2 m. kr. til sambýla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A6315" w:rsidRDefault="000A6315" w:rsidP="003B471F">
      <w:pPr>
        <w:spacing w:after="120"/>
        <w:rPr>
          <w:rStyle w:val="Heading2Char"/>
        </w:rPr>
      </w:pPr>
    </w:p>
    <w:p w:rsidR="008870F9" w:rsidRDefault="00AE633A" w:rsidP="003B471F">
      <w:pPr>
        <w:spacing w:after="120"/>
        <w:rPr>
          <w:rStyle w:val="Heading2Char"/>
        </w:rPr>
      </w:pPr>
      <w:r>
        <w:rPr>
          <w:noProof/>
          <w:lang w:eastAsia="is-IS"/>
        </w:rPr>
        <w:drawing>
          <wp:anchor distT="0" distB="0" distL="114300" distR="114300" simplePos="0" relativeHeight="251673600" behindDoc="0" locked="0" layoutInCell="1" allowOverlap="1" wp14:anchorId="3C60D2A1" wp14:editId="697D5136">
            <wp:simplePos x="0" y="0"/>
            <wp:positionH relativeFrom="column">
              <wp:posOffset>946150</wp:posOffset>
            </wp:positionH>
            <wp:positionV relativeFrom="paragraph">
              <wp:posOffset>-469900</wp:posOffset>
            </wp:positionV>
            <wp:extent cx="6172200" cy="598170"/>
            <wp:effectExtent l="0" t="0" r="0" b="0"/>
            <wp:wrapSquare wrapText="bothSides"/>
            <wp:docPr id="23" name="Picture 23" descr="fot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ur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377" w:rsidRPr="008870F9" w:rsidRDefault="00D90377" w:rsidP="00D90377">
      <w:pPr>
        <w:jc w:val="both"/>
      </w:pPr>
    </w:p>
    <w:p w:rsidR="002F6DC8" w:rsidRDefault="002F6DC8" w:rsidP="002F6DC8">
      <w:pPr>
        <w:pStyle w:val="Heading2"/>
      </w:pPr>
      <w:r>
        <w:t xml:space="preserve">Mynd 10: </w:t>
      </w:r>
      <w:r w:rsidRPr="007F17E3">
        <w:t xml:space="preserve">Fjöldi einstaklinga að meðaltali er nýtur </w:t>
      </w:r>
      <w:r>
        <w:t>sérstakra</w:t>
      </w:r>
      <w:r w:rsidRPr="007F17E3">
        <w:t xml:space="preserve"> húsaleigubóta</w:t>
      </w:r>
    </w:p>
    <w:p w:rsidR="002F6DC8" w:rsidRPr="006019EA" w:rsidRDefault="006F1DE8" w:rsidP="002F6DC8">
      <w:pPr>
        <w:jc w:val="both"/>
      </w:pPr>
      <w:r>
        <w:t>Árið 2014</w:t>
      </w:r>
      <w:r w:rsidR="002F6DC8">
        <w:t xml:space="preserve"> nutu að meðaltali 4.</w:t>
      </w:r>
      <w:r>
        <w:t>913</w:t>
      </w:r>
      <w:r w:rsidR="002F6DC8">
        <w:t xml:space="preserve"> einstaklingar sérstakra húsaleigubóta. Flestir nutu sérstakra húsaleigubóta á IV. ársfjórðungi eða 4.</w:t>
      </w:r>
      <w:r>
        <w:t>960</w:t>
      </w:r>
      <w:r w:rsidR="002F6DC8">
        <w:t>.</w:t>
      </w:r>
    </w:p>
    <w:p w:rsidR="002F6DC8" w:rsidRDefault="002F6DC8" w:rsidP="002F6DC8">
      <w:pPr>
        <w:spacing w:after="120"/>
        <w:rPr>
          <w:b/>
          <w:sz w:val="20"/>
          <w:szCs w:val="20"/>
        </w:rPr>
      </w:pPr>
    </w:p>
    <w:p w:rsidR="002F6DC8" w:rsidRDefault="002F6DC8" w:rsidP="002F6DC8">
      <w:pPr>
        <w:pStyle w:val="Heading2"/>
      </w:pPr>
      <w:r>
        <w:rPr>
          <w:b w:val="0"/>
          <w:noProof/>
          <w:szCs w:val="20"/>
          <w:lang w:eastAsia="is-IS"/>
        </w:rPr>
        <w:drawing>
          <wp:inline distT="0" distB="0" distL="0" distR="0" wp14:anchorId="07A185F2" wp14:editId="5A9C5C05">
            <wp:extent cx="6648450" cy="2095500"/>
            <wp:effectExtent l="0" t="0" r="0" b="0"/>
            <wp:docPr id="29" name="Chart 29" descr="Á IV. ársfjórðungi 2012 nutu að meðaltali 14.409 einstaklingar almennra húsaleigubót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633A" w:rsidRDefault="006019EA" w:rsidP="00AE633A">
      <w:pPr>
        <w:pStyle w:val="Heading2"/>
      </w:pPr>
      <w:r>
        <w:t>Mynd 11</w:t>
      </w:r>
      <w:r w:rsidR="00AE633A">
        <w:t>: Fjöldi einstaklinga að meðaltali er nýtur sérstakra húsaleigubóta eftir tegund leiguhúsnæðis</w:t>
      </w:r>
    </w:p>
    <w:p w:rsidR="00622F0C" w:rsidRDefault="00BB3752" w:rsidP="00622F0C">
      <w:pPr>
        <w:jc w:val="both"/>
      </w:pPr>
      <w:r>
        <w:t>Flestir sem nutu sérs</w:t>
      </w:r>
      <w:r w:rsidR="000A1E21">
        <w:t>takra húsaleigubóta á árinu 201</w:t>
      </w:r>
      <w:r w:rsidR="00C21166">
        <w:t>4</w:t>
      </w:r>
      <w:r>
        <w:t xml:space="preserve"> bjuggu í félagslegum íbúðum.</w:t>
      </w:r>
    </w:p>
    <w:p w:rsidR="008F3D0A" w:rsidRPr="008870F9" w:rsidRDefault="008F3D0A" w:rsidP="001222A4">
      <w:pPr>
        <w:jc w:val="both"/>
      </w:pPr>
    </w:p>
    <w:p w:rsidR="000A6315" w:rsidRDefault="003B471F">
      <w:r>
        <w:rPr>
          <w:b/>
          <w:noProof/>
          <w:color w:val="FF0000"/>
          <w:sz w:val="20"/>
          <w:szCs w:val="20"/>
          <w:lang w:eastAsia="is-IS"/>
        </w:rPr>
        <w:drawing>
          <wp:inline distT="0" distB="0" distL="0" distR="0" wp14:anchorId="3B83141E" wp14:editId="2EA796BF">
            <wp:extent cx="6657975" cy="3933825"/>
            <wp:effectExtent l="0" t="0" r="0" b="0"/>
            <wp:docPr id="18" name="Chart 18" descr="Á IV. ársfjórðungi 2012 voru að meðaltali voru 1.941 einstaklingar sem nutu sérstakra húsleigubóta í almennum íbúðum, 2.128 einstaklingar í félagslegum íbúðum, 37 einstaklingar á námsgörðum/heimavistum og 6 einstaklingar á sambýlum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F3D0A" w:rsidRPr="00AE633A" w:rsidRDefault="008F3D0A" w:rsidP="001222A4">
      <w:pPr>
        <w:jc w:val="both"/>
        <w:rPr>
          <w:rStyle w:val="Heading2Char"/>
          <w:rFonts w:eastAsia="Times New Roman" w:cs="Times New Roman"/>
          <w:b w:val="0"/>
          <w:bCs w:val="0"/>
          <w:sz w:val="18"/>
          <w:szCs w:val="24"/>
        </w:rPr>
      </w:pPr>
    </w:p>
    <w:p w:rsidR="00B2329F" w:rsidRDefault="00B2329F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6F1B0F" w:rsidRDefault="006F1B0F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6F1B0F" w:rsidRDefault="006F1B0F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6F1B0F" w:rsidRDefault="006F1B0F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6F1B0F" w:rsidRDefault="006F1B0F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6F1B0F" w:rsidRDefault="006F1B0F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6F1B0F" w:rsidRDefault="006F1B0F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2F6DC8" w:rsidRDefault="002F6DC8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2F6DC8" w:rsidRDefault="00F47745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  <w:r>
        <w:rPr>
          <w:noProof/>
          <w:lang w:eastAsia="is-IS"/>
        </w:rPr>
        <w:drawing>
          <wp:anchor distT="0" distB="0" distL="114300" distR="114300" simplePos="0" relativeHeight="251682816" behindDoc="0" locked="0" layoutInCell="1" allowOverlap="1" wp14:anchorId="4C2F499B" wp14:editId="4D278DC2">
            <wp:simplePos x="0" y="0"/>
            <wp:positionH relativeFrom="column">
              <wp:posOffset>-457200</wp:posOffset>
            </wp:positionH>
            <wp:positionV relativeFrom="paragraph">
              <wp:posOffset>184785</wp:posOffset>
            </wp:positionV>
            <wp:extent cx="5981700" cy="577850"/>
            <wp:effectExtent l="0" t="0" r="0" b="0"/>
            <wp:wrapSquare wrapText="bothSides"/>
            <wp:docPr id="19" name="Picture 19" descr="fo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6DC8" w:rsidRDefault="002F6DC8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2F6DC8" w:rsidRDefault="002F6DC8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2F6DC8" w:rsidRDefault="002F6DC8" w:rsidP="006F1B0F">
      <w:pPr>
        <w:pStyle w:val="Heading2"/>
        <w:rPr>
          <w:rStyle w:val="Heading2Char"/>
        </w:rPr>
      </w:pPr>
      <w:r>
        <w:rPr>
          <w:noProof/>
          <w:lang w:eastAsia="is-IS"/>
        </w:rPr>
        <w:drawing>
          <wp:anchor distT="0" distB="0" distL="114300" distR="114300" simplePos="0" relativeHeight="251684864" behindDoc="0" locked="0" layoutInCell="1" allowOverlap="1" wp14:anchorId="4D6F23E8" wp14:editId="3BC15B91">
            <wp:simplePos x="0" y="0"/>
            <wp:positionH relativeFrom="column">
              <wp:posOffset>922020</wp:posOffset>
            </wp:positionH>
            <wp:positionV relativeFrom="paragraph">
              <wp:posOffset>-441325</wp:posOffset>
            </wp:positionV>
            <wp:extent cx="6172200" cy="598170"/>
            <wp:effectExtent l="0" t="0" r="0" b="0"/>
            <wp:wrapSquare wrapText="bothSides"/>
            <wp:docPr id="26" name="Picture 26" descr="fot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ur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1B0F" w:rsidRDefault="006F1B0F" w:rsidP="006F1B0F">
      <w:pPr>
        <w:pStyle w:val="Heading2"/>
      </w:pPr>
      <w:r w:rsidRPr="00083A6C">
        <w:rPr>
          <w:rStyle w:val="Heading2Char"/>
        </w:rPr>
        <w:t xml:space="preserve"> </w:t>
      </w:r>
      <w:r>
        <w:t xml:space="preserve">Mynd </w:t>
      </w:r>
      <w:r w:rsidR="006019EA">
        <w:t>12</w:t>
      </w:r>
      <w:r>
        <w:t>: Greiðslur sveitarfélaga á sérstökum húsaleigubótum frá 2008</w:t>
      </w:r>
    </w:p>
    <w:p w:rsidR="006F1B0F" w:rsidRDefault="006F1B0F" w:rsidP="006F1B0F">
      <w:pPr>
        <w:jc w:val="both"/>
      </w:pPr>
      <w:r>
        <w:t>Á myndinni má sjá greiðslur sveitarfélaga á sérstökum húsaleigubótu</w:t>
      </w:r>
      <w:r w:rsidR="00C21166">
        <w:t>m frá árinu 2008 til ársins 2014</w:t>
      </w:r>
      <w:r>
        <w:t xml:space="preserve"> miðað við verðlag ársins 201</w:t>
      </w:r>
      <w:r w:rsidR="00C21166">
        <w:t>4</w:t>
      </w:r>
      <w:r>
        <w:t>. Samtals greiddu sveitarfélögin 1.</w:t>
      </w:r>
      <w:r w:rsidR="00C21166">
        <w:t>345</w:t>
      </w:r>
      <w:r>
        <w:t>,</w:t>
      </w:r>
      <w:r w:rsidR="00C21166">
        <w:t>8</w:t>
      </w:r>
      <w:r>
        <w:t xml:space="preserve"> m.kr. í sé</w:t>
      </w:r>
      <w:r w:rsidR="00C21166">
        <w:t>rstakar húsaleigubætur árið 2014</w:t>
      </w:r>
      <w:r>
        <w:t>.</w:t>
      </w:r>
    </w:p>
    <w:p w:rsidR="00B2329F" w:rsidRDefault="00B2329F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2F6DC8" w:rsidRDefault="002F6DC8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</w:p>
    <w:p w:rsidR="00EB6CE3" w:rsidRPr="001145A1" w:rsidRDefault="006019EA" w:rsidP="001145A1">
      <w:pPr>
        <w:tabs>
          <w:tab w:val="left" w:pos="6510"/>
        </w:tabs>
        <w:rPr>
          <w:rFonts w:eastAsiaTheme="majorEastAsia" w:cstheme="majorBidi"/>
          <w:b/>
          <w:bCs/>
          <w:sz w:val="20"/>
          <w:szCs w:val="26"/>
        </w:rPr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15269" wp14:editId="2DD35618">
                <wp:simplePos x="0" y="0"/>
                <wp:positionH relativeFrom="column">
                  <wp:posOffset>-76200</wp:posOffset>
                </wp:positionH>
                <wp:positionV relativeFrom="paragraph">
                  <wp:posOffset>8660130</wp:posOffset>
                </wp:positionV>
                <wp:extent cx="5829300" cy="313690"/>
                <wp:effectExtent l="0" t="0" r="0" b="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43D" w:rsidRPr="00D361FF" w:rsidRDefault="0056443D" w:rsidP="000A6315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14"/>
                              </w:rPr>
                              <w:t xml:space="preserve">    Innanríkisráðuneytið - </w:t>
                            </w:r>
                            <w:r w:rsidRPr="00D361FF">
                              <w:rPr>
                                <w:color w:val="FFFFFF"/>
                                <w:sz w:val="14"/>
                                <w:szCs w:val="14"/>
                              </w:rPr>
                              <w:t>Jöfnunarsjóður sveitarfélaga</w:t>
                            </w:r>
                            <w:r>
                              <w:rPr>
                                <w:color w:val="FFFFFF"/>
                                <w:sz w:val="14"/>
                                <w:szCs w:val="14"/>
                              </w:rPr>
                              <w:t xml:space="preserve"> – Sölvhólsgötu 7 - 150 Reykjavík - S: 545 9000 - postur@irr</w:t>
                            </w:r>
                            <w:r w:rsidRPr="00D361FF">
                              <w:rPr>
                                <w:color w:val="FFFFFF"/>
                                <w:sz w:val="14"/>
                                <w:szCs w:val="14"/>
                              </w:rPr>
                              <w:t>.is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6pt;margin-top:681.9pt;width:459pt;height:2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dlvQIAAMI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" filled="f" stroked="f">
                <v:textbox>
                  <w:txbxContent>
                    <w:p w:rsidR="0056443D" w:rsidRPr="00D361FF" w:rsidRDefault="0056443D" w:rsidP="000A6315">
                      <w:pPr>
                        <w:rPr>
                          <w:color w:val="FFFFFF"/>
                          <w:sz w:val="14"/>
                          <w:szCs w:val="14"/>
                        </w:rPr>
                      </w:pPr>
                      <w:r>
                        <w:rPr>
                          <w:color w:val="FFFFFF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color w:val="FFFFFF"/>
                          <w:sz w:val="14"/>
                          <w:szCs w:val="14"/>
                        </w:rPr>
                        <w:t xml:space="preserve">Innanríkisráðuneytið - </w:t>
                      </w:r>
                      <w:r w:rsidRPr="00D361FF">
                        <w:rPr>
                          <w:color w:val="FFFFFF"/>
                          <w:sz w:val="14"/>
                          <w:szCs w:val="14"/>
                        </w:rPr>
                        <w:t>Jöfnunarsjóður sveitarfélaga</w:t>
                      </w:r>
                      <w:r>
                        <w:rPr>
                          <w:color w:val="FFFFFF"/>
                          <w:sz w:val="14"/>
                          <w:szCs w:val="14"/>
                        </w:rPr>
                        <w:t xml:space="preserve"> – Sölvhólsgötu 7 - 150 Reykjavík - S: 545 9000 - postur@irr</w:t>
                      </w:r>
                      <w:r w:rsidRPr="00D361FF">
                        <w:rPr>
                          <w:color w:val="FFFFFF"/>
                          <w:sz w:val="14"/>
                          <w:szCs w:val="14"/>
                        </w:rPr>
                        <w:t>.is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w:drawing>
          <wp:anchor distT="0" distB="0" distL="114300" distR="114300" simplePos="0" relativeHeight="251675648" behindDoc="0" locked="0" layoutInCell="1" allowOverlap="1" wp14:anchorId="1BF39648" wp14:editId="6AD9005A">
            <wp:simplePos x="0" y="0"/>
            <wp:positionH relativeFrom="column">
              <wp:posOffset>-457200</wp:posOffset>
            </wp:positionH>
            <wp:positionV relativeFrom="paragraph">
              <wp:posOffset>8517255</wp:posOffset>
            </wp:positionV>
            <wp:extent cx="5981700" cy="577850"/>
            <wp:effectExtent l="0" t="0" r="0" b="0"/>
            <wp:wrapSquare wrapText="bothSides"/>
            <wp:docPr id="24" name="Picture 24" descr="fo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1B0F">
        <w:rPr>
          <w:noProof/>
          <w:szCs w:val="18"/>
          <w:lang w:eastAsia="is-IS"/>
        </w:rPr>
        <w:drawing>
          <wp:inline distT="0" distB="0" distL="0" distR="0" wp14:anchorId="21EF5F61" wp14:editId="772AC841">
            <wp:extent cx="6646545" cy="2618624"/>
            <wp:effectExtent l="0" t="0" r="1905" b="0"/>
            <wp:docPr id="30" name="Chart 30" descr="Samtals greiða sveitarfélögin 1.133,2 m. kr. í sérstakar húsaleigubætur árið 2012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EB6CE3" w:rsidRPr="001145A1" w:rsidSect="008870F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1F"/>
    <w:rsid w:val="00001669"/>
    <w:rsid w:val="0000408F"/>
    <w:rsid w:val="00021CE9"/>
    <w:rsid w:val="00061A88"/>
    <w:rsid w:val="000679EF"/>
    <w:rsid w:val="00080F9D"/>
    <w:rsid w:val="00083A6C"/>
    <w:rsid w:val="00090C1F"/>
    <w:rsid w:val="0009444D"/>
    <w:rsid w:val="000A1E21"/>
    <w:rsid w:val="000A6315"/>
    <w:rsid w:val="000B517D"/>
    <w:rsid w:val="0010288C"/>
    <w:rsid w:val="001145A1"/>
    <w:rsid w:val="001222A4"/>
    <w:rsid w:val="00156533"/>
    <w:rsid w:val="0016046E"/>
    <w:rsid w:val="001633D0"/>
    <w:rsid w:val="00170A12"/>
    <w:rsid w:val="0017533E"/>
    <w:rsid w:val="001822F1"/>
    <w:rsid w:val="001837C3"/>
    <w:rsid w:val="001A52AE"/>
    <w:rsid w:val="001B0C24"/>
    <w:rsid w:val="001C2A7B"/>
    <w:rsid w:val="001D64C6"/>
    <w:rsid w:val="001F1871"/>
    <w:rsid w:val="001F57C1"/>
    <w:rsid w:val="00204597"/>
    <w:rsid w:val="002469D7"/>
    <w:rsid w:val="002A3575"/>
    <w:rsid w:val="002C3F67"/>
    <w:rsid w:val="002F55BF"/>
    <w:rsid w:val="002F6DC8"/>
    <w:rsid w:val="00305D0E"/>
    <w:rsid w:val="00315182"/>
    <w:rsid w:val="00324B79"/>
    <w:rsid w:val="00326001"/>
    <w:rsid w:val="00334A14"/>
    <w:rsid w:val="00356AEC"/>
    <w:rsid w:val="00383CB8"/>
    <w:rsid w:val="003A572C"/>
    <w:rsid w:val="003B471F"/>
    <w:rsid w:val="003B520A"/>
    <w:rsid w:val="003D0BFD"/>
    <w:rsid w:val="003D15DB"/>
    <w:rsid w:val="003D7271"/>
    <w:rsid w:val="00452E4D"/>
    <w:rsid w:val="004532D0"/>
    <w:rsid w:val="00454374"/>
    <w:rsid w:val="004622D8"/>
    <w:rsid w:val="00472545"/>
    <w:rsid w:val="00482131"/>
    <w:rsid w:val="004A0C4B"/>
    <w:rsid w:val="004B7894"/>
    <w:rsid w:val="004C7C3A"/>
    <w:rsid w:val="004F74A5"/>
    <w:rsid w:val="0050061E"/>
    <w:rsid w:val="00503EB1"/>
    <w:rsid w:val="00525204"/>
    <w:rsid w:val="00543C82"/>
    <w:rsid w:val="0054481F"/>
    <w:rsid w:val="005473CF"/>
    <w:rsid w:val="00551469"/>
    <w:rsid w:val="0056443D"/>
    <w:rsid w:val="00571C31"/>
    <w:rsid w:val="00590429"/>
    <w:rsid w:val="005A1769"/>
    <w:rsid w:val="005A3595"/>
    <w:rsid w:val="005F2F74"/>
    <w:rsid w:val="006019EA"/>
    <w:rsid w:val="00622F0C"/>
    <w:rsid w:val="00623644"/>
    <w:rsid w:val="00663078"/>
    <w:rsid w:val="00667B01"/>
    <w:rsid w:val="00674105"/>
    <w:rsid w:val="0069498D"/>
    <w:rsid w:val="006B61E0"/>
    <w:rsid w:val="006C62D6"/>
    <w:rsid w:val="006D713E"/>
    <w:rsid w:val="006E6509"/>
    <w:rsid w:val="006F1B0F"/>
    <w:rsid w:val="006F1DE8"/>
    <w:rsid w:val="00701EB4"/>
    <w:rsid w:val="00706F67"/>
    <w:rsid w:val="00707353"/>
    <w:rsid w:val="00716D4D"/>
    <w:rsid w:val="00720AE8"/>
    <w:rsid w:val="00721F24"/>
    <w:rsid w:val="00757EA9"/>
    <w:rsid w:val="00762B2F"/>
    <w:rsid w:val="00767440"/>
    <w:rsid w:val="00777449"/>
    <w:rsid w:val="00785175"/>
    <w:rsid w:val="007A152A"/>
    <w:rsid w:val="007A5083"/>
    <w:rsid w:val="007B57C6"/>
    <w:rsid w:val="007C11FE"/>
    <w:rsid w:val="007D1AD2"/>
    <w:rsid w:val="007E5C02"/>
    <w:rsid w:val="00811D75"/>
    <w:rsid w:val="0087089F"/>
    <w:rsid w:val="008729B5"/>
    <w:rsid w:val="008870F9"/>
    <w:rsid w:val="00895B25"/>
    <w:rsid w:val="00897077"/>
    <w:rsid w:val="008A4E12"/>
    <w:rsid w:val="008A6A37"/>
    <w:rsid w:val="008B00EE"/>
    <w:rsid w:val="008B7483"/>
    <w:rsid w:val="008C18FD"/>
    <w:rsid w:val="008C32C6"/>
    <w:rsid w:val="008C5861"/>
    <w:rsid w:val="008D2D50"/>
    <w:rsid w:val="008D474D"/>
    <w:rsid w:val="008F3D0A"/>
    <w:rsid w:val="00912505"/>
    <w:rsid w:val="0091415F"/>
    <w:rsid w:val="00925839"/>
    <w:rsid w:val="0095081A"/>
    <w:rsid w:val="00957C6D"/>
    <w:rsid w:val="00996AEF"/>
    <w:rsid w:val="009A576A"/>
    <w:rsid w:val="009C5560"/>
    <w:rsid w:val="00A1528B"/>
    <w:rsid w:val="00A243A1"/>
    <w:rsid w:val="00A36850"/>
    <w:rsid w:val="00A4385C"/>
    <w:rsid w:val="00A849D3"/>
    <w:rsid w:val="00AA02C9"/>
    <w:rsid w:val="00AC0D19"/>
    <w:rsid w:val="00AE42A8"/>
    <w:rsid w:val="00AE633A"/>
    <w:rsid w:val="00AE6996"/>
    <w:rsid w:val="00B02113"/>
    <w:rsid w:val="00B179B0"/>
    <w:rsid w:val="00B2329F"/>
    <w:rsid w:val="00B424E1"/>
    <w:rsid w:val="00B67736"/>
    <w:rsid w:val="00B83851"/>
    <w:rsid w:val="00B9467B"/>
    <w:rsid w:val="00B94AD3"/>
    <w:rsid w:val="00BB3752"/>
    <w:rsid w:val="00BC2E95"/>
    <w:rsid w:val="00BD14CF"/>
    <w:rsid w:val="00BE103D"/>
    <w:rsid w:val="00BF6E25"/>
    <w:rsid w:val="00C1038B"/>
    <w:rsid w:val="00C10CE7"/>
    <w:rsid w:val="00C1320B"/>
    <w:rsid w:val="00C1780F"/>
    <w:rsid w:val="00C21166"/>
    <w:rsid w:val="00C30597"/>
    <w:rsid w:val="00C33E59"/>
    <w:rsid w:val="00C572DF"/>
    <w:rsid w:val="00C76590"/>
    <w:rsid w:val="00C84E20"/>
    <w:rsid w:val="00CA1199"/>
    <w:rsid w:val="00CB47F0"/>
    <w:rsid w:val="00CE1EF3"/>
    <w:rsid w:val="00CF4EDE"/>
    <w:rsid w:val="00D05B75"/>
    <w:rsid w:val="00D07677"/>
    <w:rsid w:val="00D26735"/>
    <w:rsid w:val="00D35007"/>
    <w:rsid w:val="00D45E56"/>
    <w:rsid w:val="00D62734"/>
    <w:rsid w:val="00D876BC"/>
    <w:rsid w:val="00D90377"/>
    <w:rsid w:val="00DB2741"/>
    <w:rsid w:val="00DF39E7"/>
    <w:rsid w:val="00DF4A79"/>
    <w:rsid w:val="00E04075"/>
    <w:rsid w:val="00E05E48"/>
    <w:rsid w:val="00E16ED3"/>
    <w:rsid w:val="00E233C7"/>
    <w:rsid w:val="00E23ABD"/>
    <w:rsid w:val="00E45B28"/>
    <w:rsid w:val="00E4663D"/>
    <w:rsid w:val="00E65FFC"/>
    <w:rsid w:val="00E8385D"/>
    <w:rsid w:val="00E83968"/>
    <w:rsid w:val="00E905D5"/>
    <w:rsid w:val="00EA6247"/>
    <w:rsid w:val="00EB6CE3"/>
    <w:rsid w:val="00EC0A62"/>
    <w:rsid w:val="00EC6DA1"/>
    <w:rsid w:val="00EE0EF5"/>
    <w:rsid w:val="00F143DC"/>
    <w:rsid w:val="00F23E46"/>
    <w:rsid w:val="00F25033"/>
    <w:rsid w:val="00F36E91"/>
    <w:rsid w:val="00F47745"/>
    <w:rsid w:val="00F53E21"/>
    <w:rsid w:val="00F631EE"/>
    <w:rsid w:val="00F83159"/>
    <w:rsid w:val="00FA3FB7"/>
    <w:rsid w:val="00FA41FC"/>
    <w:rsid w:val="00FA769A"/>
    <w:rsid w:val="00FE0EF1"/>
    <w:rsid w:val="00FE197A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F9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6C"/>
    <w:pPr>
      <w:keepNext/>
      <w:keepLines/>
      <w:spacing w:after="12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A6C"/>
    <w:pPr>
      <w:keepNext/>
      <w:keepLines/>
      <w:spacing w:after="12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1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3A6C"/>
    <w:rPr>
      <w:rFonts w:ascii="Verdana" w:eastAsiaTheme="majorEastAsia" w:hAnsi="Verdan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3A6C"/>
    <w:rPr>
      <w:rFonts w:ascii="Verdana" w:eastAsiaTheme="majorEastAsia" w:hAnsi="Verdana" w:cstheme="majorBidi"/>
      <w:b/>
      <w:bCs/>
      <w:sz w:val="20"/>
      <w:szCs w:val="26"/>
    </w:rPr>
  </w:style>
  <w:style w:type="paragraph" w:styleId="NormalWeb">
    <w:name w:val="Normal (Web)"/>
    <w:basedOn w:val="Normal"/>
    <w:uiPriority w:val="99"/>
    <w:semiHidden/>
    <w:unhideWhenUsed/>
    <w:rsid w:val="00AC0D19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F9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6C"/>
    <w:pPr>
      <w:keepNext/>
      <w:keepLines/>
      <w:spacing w:after="12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A6C"/>
    <w:pPr>
      <w:keepNext/>
      <w:keepLines/>
      <w:spacing w:after="12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1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3A6C"/>
    <w:rPr>
      <w:rFonts w:ascii="Verdana" w:eastAsiaTheme="majorEastAsia" w:hAnsi="Verdan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3A6C"/>
    <w:rPr>
      <w:rFonts w:ascii="Verdana" w:eastAsiaTheme="majorEastAsia" w:hAnsi="Verdana" w:cstheme="majorBidi"/>
      <w:b/>
      <w:bCs/>
      <w:sz w:val="20"/>
      <w:szCs w:val="26"/>
    </w:rPr>
  </w:style>
  <w:style w:type="paragraph" w:styleId="NormalWeb">
    <w:name w:val="Normal (Web)"/>
    <w:basedOn w:val="Normal"/>
    <w:uiPriority w:val="99"/>
    <w:semiHidden/>
    <w:unhideWhenUsed/>
    <w:rsid w:val="00AC0D19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image" Target="media/image3.jpeg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821168630516928E-2"/>
          <c:y val="3.1572871572871572E-2"/>
          <c:w val="0.88437504886357288"/>
          <c:h val="0.721536626103555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Áætlun sveitarfélaga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4"/>
              <c:layout>
                <c:manualLayout>
                  <c:x val="-2.4719122875597997E-2"/>
                  <c:y val="2.3088023088023088E-2"/>
                </c:manualLayout>
              </c:layout>
              <c:spPr/>
              <c:txPr>
                <a:bodyPr rot="0" vert="horz" anchor="t" anchorCtr="0"/>
                <a:lstStyle/>
                <a:p>
                  <a:pPr>
                    <a:defRPr sz="800"/>
                  </a:pPr>
                  <a:endParaRPr lang="is-I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2400000" vert="horz" anchor="t" anchorCtr="0"/>
              <a:lstStyle/>
              <a:p>
                <a:pPr>
                  <a:defRPr sz="800"/>
                </a:pPr>
                <a:endParaRPr lang="is-I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</c:v>
                </c:pt>
                <c:pt idx="1">
                  <c:v>II. ársfj.</c:v>
                </c:pt>
                <c:pt idx="2">
                  <c:v>III. ársfj.</c:v>
                </c:pt>
                <c:pt idx="3">
                  <c:v>IV. ársfj.</c:v>
                </c:pt>
                <c:pt idx="4">
                  <c:v>Greiðslur eftir ársfj. 2014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1121.0999999999999</c:v>
                </c:pt>
                <c:pt idx="1">
                  <c:v>1143.7</c:v>
                </c:pt>
                <c:pt idx="2">
                  <c:v>1134.9000000000001</c:v>
                </c:pt>
                <c:pt idx="3">
                  <c:v>1171.4000000000001</c:v>
                </c:pt>
                <c:pt idx="4" formatCode="#,##0.0">
                  <c:v>4571.1000000000004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Raungreiðsla sveitarfélaga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1461318051575941E-2"/>
                  <c:y val="8.13008130081293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61318051575941E-2"/>
                  <c:y val="1.62601626016261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6408787010506319E-3"/>
                  <c:y val="1.62601626016261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191977077363897E-2"/>
                  <c:y val="8.1300813008130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248822620576684E-2"/>
                  <c:y val="1.7316017316017316E-2"/>
                </c:manualLayout>
              </c:layout>
              <c:spPr/>
              <c:txPr>
                <a:bodyPr rot="0" vert="horz" anchor="t" anchorCtr="0"/>
                <a:lstStyle/>
                <a:p>
                  <a:pPr>
                    <a:defRPr sz="800"/>
                  </a:pPr>
                  <a:endParaRPr lang="is-I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2400000" vert="horz" anchor="t" anchorCtr="0"/>
              <a:lstStyle/>
              <a:p>
                <a:pPr>
                  <a:defRPr sz="800"/>
                </a:pPr>
                <a:endParaRPr lang="is-I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</c:v>
                </c:pt>
                <c:pt idx="1">
                  <c:v>II. ársfj.</c:v>
                </c:pt>
                <c:pt idx="2">
                  <c:v>III. ársfj.</c:v>
                </c:pt>
                <c:pt idx="3">
                  <c:v>IV. ársfj.</c:v>
                </c:pt>
                <c:pt idx="4">
                  <c:v>Greiðslur eftir ársfj. 2014</c:v>
                </c:pt>
              </c:strCache>
            </c:strRef>
          </c:cat>
          <c:val>
            <c:numRef>
              <c:f>Sheet1!$C$2:$C$6</c:f>
              <c:numCache>
                <c:formatCode>0.0</c:formatCode>
                <c:ptCount val="5"/>
                <c:pt idx="0">
                  <c:v>1131.7</c:v>
                </c:pt>
                <c:pt idx="1">
                  <c:v>1159</c:v>
                </c:pt>
                <c:pt idx="2">
                  <c:v>1131.3</c:v>
                </c:pt>
                <c:pt idx="3">
                  <c:v>1195.9000000000001</c:v>
                </c:pt>
                <c:pt idx="4" formatCode="#,##0.0">
                  <c:v>4617.8999999999996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Jöfnunarsjóður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3238770685579201E-2"/>
                  <c:y val="1.6666666666666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2400000"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</c:v>
                </c:pt>
                <c:pt idx="1">
                  <c:v>II. ársfj.</c:v>
                </c:pt>
                <c:pt idx="2">
                  <c:v>III. ársfj.</c:v>
                </c:pt>
                <c:pt idx="3">
                  <c:v>IV. ársfj.</c:v>
                </c:pt>
                <c:pt idx="4">
                  <c:v>Greiðslur eftir ársfj. 2014</c:v>
                </c:pt>
              </c:strCache>
            </c:strRef>
          </c:cat>
          <c:val>
            <c:numRef>
              <c:f>Sheet1!$D$2:$D$6</c:f>
              <c:numCache>
                <c:formatCode>0.0</c:formatCode>
                <c:ptCount val="5"/>
                <c:pt idx="0" formatCode="General">
                  <c:v>746.9</c:v>
                </c:pt>
                <c:pt idx="1">
                  <c:v>765</c:v>
                </c:pt>
                <c:pt idx="2">
                  <c:v>746.7</c:v>
                </c:pt>
                <c:pt idx="3" formatCode="General">
                  <c:v>789.2</c:v>
                </c:pt>
                <c:pt idx="4" formatCode="#,##0.0">
                  <c:v>3061.7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945600"/>
        <c:axId val="45947136"/>
      </c:barChart>
      <c:catAx>
        <c:axId val="45945600"/>
        <c:scaling>
          <c:orientation val="minMax"/>
        </c:scaling>
        <c:delete val="0"/>
        <c:axPos val="b"/>
        <c:majorTickMark val="out"/>
        <c:minorTickMark val="none"/>
        <c:tickLblPos val="nextTo"/>
        <c:crossAx val="45947136"/>
        <c:crosses val="autoZero"/>
        <c:auto val="1"/>
        <c:lblAlgn val="ctr"/>
        <c:lblOffset val="100"/>
        <c:noMultiLvlLbl val="0"/>
      </c:catAx>
      <c:valAx>
        <c:axId val="45947136"/>
        <c:scaling>
          <c:orientation val="minMax"/>
          <c:max val="5000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#,##0.0" sourceLinked="0"/>
        <c:majorTickMark val="out"/>
        <c:minorTickMark val="none"/>
        <c:tickLblPos val="nextTo"/>
        <c:crossAx val="45945600"/>
        <c:crosses val="autoZero"/>
        <c:crossBetween val="between"/>
        <c:majorUnit val="500"/>
        <c:minorUnit val="100"/>
      </c:valAx>
    </c:plotArea>
    <c:legend>
      <c:legendPos val="b"/>
      <c:layout/>
      <c:overlay val="0"/>
      <c:spPr>
        <a:ln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n>
            <a:noFill/>
          </a:ln>
          <a:latin typeface="Verdana" pitchFamily="34" charset="0"/>
        </a:defRPr>
      </a:pPr>
      <a:endParaRPr lang="is-IS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Meðaltal fjölda einstaklinga 2014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4795.0000000000009</c:v>
                </c:pt>
                <c:pt idx="1">
                  <c:v>4948.699999999998</c:v>
                </c:pt>
                <c:pt idx="2">
                  <c:v>4946.8000000000011</c:v>
                </c:pt>
                <c:pt idx="3">
                  <c:v>4960.1000000000013</c:v>
                </c:pt>
                <c:pt idx="4">
                  <c:v>4912.6500000000005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49056"/>
        <c:axId val="43550592"/>
      </c:barChart>
      <c:catAx>
        <c:axId val="43549056"/>
        <c:scaling>
          <c:orientation val="minMax"/>
        </c:scaling>
        <c:delete val="0"/>
        <c:axPos val="b"/>
        <c:majorTickMark val="out"/>
        <c:minorTickMark val="none"/>
        <c:tickLblPos val="nextTo"/>
        <c:crossAx val="43550592"/>
        <c:crosses val="autoZero"/>
        <c:auto val="1"/>
        <c:lblAlgn val="ctr"/>
        <c:lblOffset val="100"/>
        <c:noMultiLvlLbl val="0"/>
      </c:catAx>
      <c:valAx>
        <c:axId val="43550592"/>
        <c:scaling>
          <c:orientation val="minMax"/>
          <c:max val="16000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#,##0" sourceLinked="1"/>
        <c:majorTickMark val="out"/>
        <c:minorTickMark val="none"/>
        <c:tickLblPos val="nextTo"/>
        <c:crossAx val="43549056"/>
        <c:crosses val="autoZero"/>
        <c:crossBetween val="between"/>
        <c:majorUnit val="5000"/>
        <c:min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Verdana" pitchFamily="34" charset="0"/>
        </a:defRPr>
      </a:pPr>
      <a:endParaRPr lang="is-I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Almennar íbúðir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-8.7047135636970988E-3"/>
                  <c:y val="1.507428076344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5006289449870266E-3"/>
                  <c:y val="1.588962396649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427170777206583E-2"/>
                  <c:y val="1.4897579143389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223140495867791E-2"/>
                  <c:y val="1.3716246634219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</c:strCache>
            </c:strRef>
          </c:cat>
          <c:val>
            <c:numRef>
              <c:f>Sheet1!$B$2:$B$5</c:f>
              <c:numCache>
                <c:formatCode>_(* #,##0_);_(* \(#,##0\);_(* "-"_);_(@_)</c:formatCode>
                <c:ptCount val="4"/>
                <c:pt idx="0">
                  <c:v>2290.1000000000008</c:v>
                </c:pt>
                <c:pt idx="1">
                  <c:v>2399.4999999999991</c:v>
                </c:pt>
                <c:pt idx="2">
                  <c:v>2404.3000000000002</c:v>
                </c:pt>
                <c:pt idx="3">
                  <c:v>2397.9000000000005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Félagslegar íbúðir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5.8501117112427104E-3"/>
                  <c:y val="1.1154415753896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43577063596664E-2"/>
                  <c:y val="-1.4901272934103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443764777336717E-2"/>
                  <c:y val="1.265179841346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426030437182476E-2"/>
                  <c:y val="-6.47563122406309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</c:strCache>
            </c:strRef>
          </c:cat>
          <c:val>
            <c:numRef>
              <c:f>Sheet1!$C$2:$C$5</c:f>
              <c:numCache>
                <c:formatCode>_(* #,##0_);_(* \(#,##0\);_(* "-"_);_(@_)</c:formatCode>
                <c:ptCount val="4"/>
                <c:pt idx="0">
                  <c:v>2396.2000000000003</c:v>
                </c:pt>
                <c:pt idx="1">
                  <c:v>2432.7999999999993</c:v>
                </c:pt>
                <c:pt idx="2">
                  <c:v>2433.2000000000003</c:v>
                </c:pt>
                <c:pt idx="3">
                  <c:v>2446.1000000000013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Námsgarðar/heimavistir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29515628728227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5821815191556E-3"/>
                  <c:y val="1.0415308255959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2772391054424113E-3"/>
                  <c:y val="1.3400196483819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839973865927704E-3"/>
                  <c:y val="1.0414799844934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</c:strCache>
            </c:strRef>
          </c:cat>
          <c:val>
            <c:numRef>
              <c:f>Sheet1!$D$2:$D$5</c:f>
              <c:numCache>
                <c:formatCode>_(* #,##0_);_(* \(#,##0\);_(* "-"_);_(@_)</c:formatCode>
                <c:ptCount val="4"/>
                <c:pt idx="0">
                  <c:v>89.3</c:v>
                </c:pt>
                <c:pt idx="1">
                  <c:v>95.7</c:v>
                </c:pt>
                <c:pt idx="2">
                  <c:v>88.6</c:v>
                </c:pt>
                <c:pt idx="3">
                  <c:v>95.100000000000009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Sambýli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567927936046621E-3"/>
                  <c:y val="1.3643718264030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4809223227261975E-3"/>
                  <c:y val="1.3400196483819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746548312362244E-3"/>
                  <c:y val="1.3643718264030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439863472001623E-3"/>
                  <c:y val="7.1868982478885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</c:strCache>
            </c:strRef>
          </c:cat>
          <c:val>
            <c:numRef>
              <c:f>Sheet1!$E$2:$E$5</c:f>
              <c:numCache>
                <c:formatCode>_(* #,##0_);_(* \(#,##0\);_(* "-"_);_(@_)</c:formatCode>
                <c:ptCount val="4"/>
                <c:pt idx="0">
                  <c:v>19.399999999999999</c:v>
                </c:pt>
                <c:pt idx="1">
                  <c:v>20.7</c:v>
                </c:pt>
                <c:pt idx="2">
                  <c:v>20.7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220992"/>
        <c:axId val="45222528"/>
      </c:barChart>
      <c:catAx>
        <c:axId val="4522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45222528"/>
        <c:crosses val="autoZero"/>
        <c:auto val="1"/>
        <c:lblAlgn val="ctr"/>
        <c:lblOffset val="100"/>
        <c:noMultiLvlLbl val="0"/>
      </c:catAx>
      <c:valAx>
        <c:axId val="4522252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0"/>
        <c:majorTickMark val="out"/>
        <c:minorTickMark val="none"/>
        <c:tickLblPos val="nextTo"/>
        <c:crossAx val="45220992"/>
        <c:crosses val="autoZero"/>
        <c:crossBetween val="between"/>
      </c:valAx>
    </c:plotArea>
    <c:legend>
      <c:legendPos val="b"/>
      <c:overlay val="0"/>
      <c:spPr>
        <a:ln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Verdana" pitchFamily="34" charset="0"/>
        </a:defRPr>
      </a:pPr>
      <a:endParaRPr lang="is-I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Sheet1!$A$2:$A$8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Sheet1!$B$2:$B$8</c:f>
              <c:numCache>
                <c:formatCode>_-* #,##0.0\ _k_r_._-;\-* #,##0.0\ _k_r_._-;_-* "-"??\ _k_r_._-;_-@_-</c:formatCode>
                <c:ptCount val="7"/>
                <c:pt idx="0">
                  <c:v>203.24199999999999</c:v>
                </c:pt>
                <c:pt idx="1">
                  <c:v>441.267</c:v>
                </c:pt>
                <c:pt idx="2">
                  <c:v>1125.8879999999999</c:v>
                </c:pt>
                <c:pt idx="3">
                  <c:v>1185.4680000000001</c:v>
                </c:pt>
                <c:pt idx="4">
                  <c:v>1160.6659999999999</c:v>
                </c:pt>
                <c:pt idx="5">
                  <c:v>1265.377</c:v>
                </c:pt>
                <c:pt idx="6">
                  <c:v>1345.847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239296"/>
        <c:axId val="45277952"/>
      </c:barChart>
      <c:catAx>
        <c:axId val="4523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277952"/>
        <c:crosses val="autoZero"/>
        <c:auto val="1"/>
        <c:lblAlgn val="ctr"/>
        <c:lblOffset val="100"/>
        <c:noMultiLvlLbl val="0"/>
      </c:catAx>
      <c:valAx>
        <c:axId val="4527795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crossAx val="45239296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n>
            <a:noFill/>
          </a:ln>
          <a:latin typeface="Verdana" pitchFamily="34" charset="0"/>
        </a:defRPr>
      </a:pPr>
      <a:endParaRPr lang="is-I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588537236169582E-2"/>
          <c:y val="9.5238095238095247E-2"/>
          <c:w val="0.88709752001221398"/>
          <c:h val="0.67275430875323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Almennar húsaleigubætur 2014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4"/>
              <c:layout>
                <c:manualLayout>
                  <c:x val="-1.337153772683859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0" vert="horz" anchor="t" anchorCtr="0"/>
              <a:lstStyle/>
              <a:p>
                <a:pPr>
                  <a:defRPr sz="800"/>
                </a:pPr>
                <a:endParaRPr lang="is-I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Raungreiðslur sveitarfélaga 2014</c:v>
                </c:pt>
                <c:pt idx="1">
                  <c:v>66% hlutdeild Jöfnunarsjóðs að viðb. leiðr. v/fyrri ára</c:v>
                </c:pt>
                <c:pt idx="2">
                  <c:v>Uppgjör vegna ársins 2014</c:v>
                </c:pt>
                <c:pt idx="3">
                  <c:v>Heildargreiðsla Jöfnunarsjóðs 2014</c:v>
                </c:pt>
              </c:strCache>
            </c:strRef>
          </c:cat>
          <c:val>
            <c:numRef>
              <c:f>Sheet1!$B$2:$B$5</c:f>
              <c:numCache>
                <c:formatCode>#,##0.0</c:formatCode>
                <c:ptCount val="4"/>
                <c:pt idx="0">
                  <c:v>4617.8999999999996</c:v>
                </c:pt>
                <c:pt idx="1">
                  <c:v>3061.7</c:v>
                </c:pt>
                <c:pt idx="2" formatCode="0.0">
                  <c:v>92.4</c:v>
                </c:pt>
                <c:pt idx="3">
                  <c:v>3154.1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986944"/>
        <c:axId val="45988480"/>
      </c:barChart>
      <c:catAx>
        <c:axId val="459869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is-IS"/>
          </a:p>
        </c:txPr>
        <c:crossAx val="45988480"/>
        <c:crosses val="autoZero"/>
        <c:auto val="1"/>
        <c:lblAlgn val="ctr"/>
        <c:lblOffset val="100"/>
        <c:noMultiLvlLbl val="0"/>
      </c:catAx>
      <c:valAx>
        <c:axId val="45988480"/>
        <c:scaling>
          <c:orientation val="minMax"/>
          <c:max val="4700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#,##0.0" sourceLinked="0"/>
        <c:majorTickMark val="out"/>
        <c:minorTickMark val="none"/>
        <c:tickLblPos val="nextTo"/>
        <c:crossAx val="45986944"/>
        <c:crosses val="autoZero"/>
        <c:crossBetween val="between"/>
        <c:majorUnit val="500"/>
        <c:min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n>
            <a:noFill/>
          </a:ln>
          <a:latin typeface="Verdana" pitchFamily="34" charset="0"/>
        </a:defRPr>
      </a:pPr>
      <a:endParaRPr lang="is-I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Almennar íbúðir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4.461688665728384E-3"/>
                  <c:y val="1.0199962118137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2400000"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Samtals 2014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634.03499999999997</c:v>
                </c:pt>
                <c:pt idx="1">
                  <c:v>666.46900000000005</c:v>
                </c:pt>
                <c:pt idx="2">
                  <c:v>656.69500000000005</c:v>
                </c:pt>
                <c:pt idx="3">
                  <c:v>681.67</c:v>
                </c:pt>
                <c:pt idx="4" formatCode="#,##0.0">
                  <c:v>2638.8690000000001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Félagslegar íbúðir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9357145574194549E-2"/>
                  <c:y val="6.00950654364081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706945448244095E-2"/>
                  <c:y val="1.0936674152844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7275793424373E-2"/>
                  <c:y val="1.5518575641962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371528438172307E-2"/>
                  <c:y val="1.3054811447538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889842632331948E-2"/>
                  <c:y val="6.8201193520886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2400000"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Samtals 2014</c:v>
                </c:pt>
              </c:strCache>
            </c:strRef>
          </c:cat>
          <c:val>
            <c:numRef>
              <c:f>Sheet1!$C$2:$C$6</c:f>
              <c:numCache>
                <c:formatCode>0.0</c:formatCode>
                <c:ptCount val="5"/>
                <c:pt idx="0">
                  <c:v>299.87400000000002</c:v>
                </c:pt>
                <c:pt idx="1">
                  <c:v>305.245</c:v>
                </c:pt>
                <c:pt idx="2">
                  <c:v>306.30900000000003</c:v>
                </c:pt>
                <c:pt idx="3">
                  <c:v>305.84699999999998</c:v>
                </c:pt>
                <c:pt idx="4" formatCode="#,##0.0">
                  <c:v>1217.2750000000001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Námsgarðar/heimavistir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8518603049015026E-2"/>
                  <c:y val="1.3745704467353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2.010050251256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07E-2"/>
                  <c:y val="1.3400335008375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33386164893667E-2"/>
                  <c:y val="1.5518575641962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4449213161659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2400000"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Samtals 2014</c:v>
                </c:pt>
              </c:strCache>
            </c:strRef>
          </c:cat>
          <c:val>
            <c:numRef>
              <c:f>Sheet1!$D$2:$D$6</c:f>
              <c:numCache>
                <c:formatCode>0.0</c:formatCode>
                <c:ptCount val="5"/>
                <c:pt idx="0">
                  <c:v>173.428</c:v>
                </c:pt>
                <c:pt idx="1">
                  <c:v>162.815</c:v>
                </c:pt>
                <c:pt idx="2">
                  <c:v>144.34399999999999</c:v>
                </c:pt>
                <c:pt idx="3">
                  <c:v>184.31399999999999</c:v>
                </c:pt>
                <c:pt idx="4" formatCode="#,##0.0">
                  <c:v>664.90099999999995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Sambýli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3E-2"/>
                  <c:y val="2.0100502512562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951E-2"/>
                  <c:y val="1.3400335008375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2.0100502512562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907E-2"/>
                  <c:y val="2.0100502512562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629947544110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2400000"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Samtals 2014</c:v>
                </c:pt>
              </c:strCache>
            </c:strRef>
          </c:cat>
          <c:val>
            <c:numRef>
              <c:f>Sheet1!$E$2:$E$6</c:f>
              <c:numCache>
                <c:formatCode>0.0</c:formatCode>
                <c:ptCount val="5"/>
                <c:pt idx="0">
                  <c:v>24.369</c:v>
                </c:pt>
                <c:pt idx="1">
                  <c:v>24.501000000000001</c:v>
                </c:pt>
                <c:pt idx="2">
                  <c:v>23.984000000000002</c:v>
                </c:pt>
                <c:pt idx="3">
                  <c:v>24.027999999999999</c:v>
                </c:pt>
                <c:pt idx="4" formatCode="#,##0.0">
                  <c:v>96.882000000000005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033152"/>
        <c:axId val="46080000"/>
      </c:barChart>
      <c:catAx>
        <c:axId val="46033152"/>
        <c:scaling>
          <c:orientation val="minMax"/>
        </c:scaling>
        <c:delete val="0"/>
        <c:axPos val="b"/>
        <c:majorTickMark val="out"/>
        <c:minorTickMark val="none"/>
        <c:tickLblPos val="nextTo"/>
        <c:crossAx val="46080000"/>
        <c:crosses val="autoZero"/>
        <c:auto val="1"/>
        <c:lblAlgn val="ctr"/>
        <c:lblOffset val="100"/>
        <c:noMultiLvlLbl val="0"/>
      </c:catAx>
      <c:valAx>
        <c:axId val="460800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#,##0.0" sourceLinked="0"/>
        <c:majorTickMark val="out"/>
        <c:minorTickMark val="none"/>
        <c:tickLblPos val="nextTo"/>
        <c:crossAx val="46033152"/>
        <c:crosses val="autoZero"/>
        <c:crossBetween val="between"/>
      </c:valAx>
    </c:plotArea>
    <c:legend>
      <c:legendPos val="b"/>
      <c:layout/>
      <c:overlay val="0"/>
      <c:spPr>
        <a:noFill/>
        <a:ln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Verdana" pitchFamily="34" charset="0"/>
        </a:defRPr>
      </a:pPr>
      <a:endParaRPr lang="is-I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Meðaltal 2014</c:v>
                </c:pt>
              </c:strCache>
            </c:strRef>
          </c:cat>
          <c:val>
            <c:numRef>
              <c:f>Sheet1!$B$2:$B$6</c:f>
              <c:numCache>
                <c:formatCode>_(* #,##0_);_(* \(#,##0\);_(* "-"_);_(@_)</c:formatCode>
                <c:ptCount val="5"/>
                <c:pt idx="0">
                  <c:v>15197</c:v>
                </c:pt>
                <c:pt idx="1">
                  <c:v>15420</c:v>
                </c:pt>
                <c:pt idx="2">
                  <c:v>14977</c:v>
                </c:pt>
                <c:pt idx="3">
                  <c:v>15853</c:v>
                </c:pt>
                <c:pt idx="4">
                  <c:v>15361.75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889024"/>
        <c:axId val="47903104"/>
      </c:barChart>
      <c:catAx>
        <c:axId val="4788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47903104"/>
        <c:crosses val="autoZero"/>
        <c:auto val="1"/>
        <c:lblAlgn val="ctr"/>
        <c:lblOffset val="100"/>
        <c:noMultiLvlLbl val="0"/>
      </c:catAx>
      <c:valAx>
        <c:axId val="47903104"/>
        <c:scaling>
          <c:orientation val="minMax"/>
          <c:max val="16000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_(* #,##0_);_(* \(#,##0\);_(* &quot;-&quot;_);_(@_)" sourceLinked="1"/>
        <c:majorTickMark val="out"/>
        <c:minorTickMark val="none"/>
        <c:tickLblPos val="nextTo"/>
        <c:crossAx val="47889024"/>
        <c:crosses val="autoZero"/>
        <c:crossBetween val="between"/>
        <c:majorUnit val="5000"/>
        <c:min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Verdana" pitchFamily="34" charset="0"/>
        </a:defRPr>
      </a:pPr>
      <a:endParaRPr lang="is-I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Almennar íbúðir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2.3145907361280006E-3"/>
                  <c:y val="1.3353938234356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Meðaltal einstaklinga 2014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8181.0000000000018</c:v>
                </c:pt>
                <c:pt idx="1">
                  <c:v>8554.2000000000007</c:v>
                </c:pt>
                <c:pt idx="2">
                  <c:v>8471.3000000000011</c:v>
                </c:pt>
                <c:pt idx="3">
                  <c:v>8749.2999999999993</c:v>
                </c:pt>
                <c:pt idx="4">
                  <c:v>8488.9500000000007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Félagslegar íbúðir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8098509800218023E-2"/>
                  <c:y val="4.4251477911055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56182538651937E-2"/>
                  <c:y val="1.3881816174847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467014524233944E-2"/>
                  <c:y val="1.594688514402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521455807529317E-2"/>
                  <c:y val="1.4339702864244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Meðaltal einstaklinga 2014</c:v>
                </c:pt>
              </c:strCache>
            </c:strRef>
          </c:cat>
          <c:val>
            <c:numRef>
              <c:f>Sheet1!$C$2:$C$6</c:f>
              <c:numCache>
                <c:formatCode>_(* #,##0_);_(* \(#,##0\);_(* "-"_);_(@_)</c:formatCode>
                <c:ptCount val="5"/>
                <c:pt idx="0">
                  <c:v>3857.9000000000005</c:v>
                </c:pt>
                <c:pt idx="1">
                  <c:v>3908.7</c:v>
                </c:pt>
                <c:pt idx="2">
                  <c:v>3924.1999999999994</c:v>
                </c:pt>
                <c:pt idx="3">
                  <c:v>3885.4000000000005</c:v>
                </c:pt>
                <c:pt idx="4">
                  <c:v>3894.05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Námsgarðar/heimavistir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8518518518518535E-2"/>
                  <c:y val="6.14174926216042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205708169537331E-2"/>
                  <c:y val="7.63918528875479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03299531336694E-2"/>
                  <c:y val="5.09300823378386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836361346885624E-2"/>
                  <c:y val="1.1792871685431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Meðaltal einstaklinga 2014</c:v>
                </c:pt>
              </c:strCache>
            </c:strRef>
          </c:cat>
          <c:val>
            <c:numRef>
              <c:f>Sheet1!$D$2:$D$6</c:f>
              <c:numCache>
                <c:formatCode>_(* #,##0_);_(* \(#,##0\);_(* "-"_);_(@_)</c:formatCode>
                <c:ptCount val="5"/>
                <c:pt idx="0">
                  <c:v>2688.8999999999996</c:v>
                </c:pt>
                <c:pt idx="1">
                  <c:v>2489.2999999999997</c:v>
                </c:pt>
                <c:pt idx="2">
                  <c:v>2123</c:v>
                </c:pt>
                <c:pt idx="3">
                  <c:v>2765.1000000000004</c:v>
                </c:pt>
                <c:pt idx="4">
                  <c:v>2516.5749999999998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Sambýli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919595320450005E-3"/>
                  <c:y val="1.1793198747352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8929590322948817E-3"/>
                  <c:y val="1.3400381027137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770539926887032E-3"/>
                  <c:y val="2.0100571540706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919595320450751E-3"/>
                  <c:y val="2.0100571540706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Meðaltal einstaklinga 2014</c:v>
                </c:pt>
              </c:strCache>
            </c:strRef>
          </c:cat>
          <c:val>
            <c:numRef>
              <c:f>Sheet1!$E$2:$E$6</c:f>
              <c:numCache>
                <c:formatCode>_(* #,##0_);_(* \(#,##0\);_(* "-"_);_(@_)</c:formatCode>
                <c:ptCount val="5"/>
                <c:pt idx="0">
                  <c:v>469.49999999999994</c:v>
                </c:pt>
                <c:pt idx="1">
                  <c:v>468.20000000000005</c:v>
                </c:pt>
                <c:pt idx="2">
                  <c:v>458.90000000000003</c:v>
                </c:pt>
                <c:pt idx="3">
                  <c:v>453.6</c:v>
                </c:pt>
                <c:pt idx="4">
                  <c:v>462.55000000000007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933760"/>
        <c:axId val="50935296"/>
      </c:barChart>
      <c:catAx>
        <c:axId val="5093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50935296"/>
        <c:crosses val="autoZero"/>
        <c:auto val="1"/>
        <c:lblAlgn val="ctr"/>
        <c:lblOffset val="100"/>
        <c:noMultiLvlLbl val="0"/>
      </c:catAx>
      <c:valAx>
        <c:axId val="50935296"/>
        <c:scaling>
          <c:orientation val="minMax"/>
          <c:max val="9000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0"/>
        <c:majorTickMark val="out"/>
        <c:minorTickMark val="none"/>
        <c:tickLblPos val="nextTo"/>
        <c:crossAx val="50933760"/>
        <c:crosses val="autoZero"/>
        <c:crossBetween val="between"/>
        <c:majorUnit val="2000"/>
        <c:minorUnit val="200"/>
      </c:valAx>
    </c:plotArea>
    <c:legend>
      <c:legendPos val="b"/>
      <c:layout/>
      <c:overlay val="0"/>
      <c:spPr>
        <a:ln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Verdana" pitchFamily="34" charset="0"/>
        </a:defRPr>
      </a:pPr>
      <a:endParaRPr lang="is-I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Almennar íbúðir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2.314630144145598E-3"/>
                  <c:y val="1.1578795369025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</c:strCache>
            </c:strRef>
          </c:cat>
          <c:val>
            <c:numRef>
              <c:f>Sheet1!$B$2:$B$5</c:f>
              <c:numCache>
                <c:formatCode>_(* #,##0_);_(* \(#,##0\);_(* "-"_);_(@_)</c:formatCode>
                <c:ptCount val="4"/>
                <c:pt idx="0">
                  <c:v>109269.20605060503</c:v>
                </c:pt>
                <c:pt idx="1">
                  <c:v>110483.15706904205</c:v>
                </c:pt>
                <c:pt idx="2">
                  <c:v>111854.06918654751</c:v>
                </c:pt>
                <c:pt idx="3">
                  <c:v>112962.51730995618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Félagslegar íbúðir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7884045607037061E-2"/>
                  <c:y val="1.2391509313762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243802430991882E-2"/>
                  <c:y val="1.147041085883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06414498334137E-2"/>
                  <c:y val="1.147041085883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614234714072159E-2"/>
                  <c:y val="1.8170544215953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</c:strCache>
            </c:strRef>
          </c:cat>
          <c:val>
            <c:numRef>
              <c:f>Sheet1!$C$2:$C$5</c:f>
              <c:numCache>
                <c:formatCode>_(* #,##0_);_(* \(#,##0\);_(* "-"_);_(@_)</c:formatCode>
                <c:ptCount val="4"/>
                <c:pt idx="0">
                  <c:v>92155.415433266797</c:v>
                </c:pt>
                <c:pt idx="1">
                  <c:v>92899.837362806051</c:v>
                </c:pt>
                <c:pt idx="2">
                  <c:v>93287.10320574895</c:v>
                </c:pt>
                <c:pt idx="3">
                  <c:v>93896.625186595978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Námsgarðar/heimavistir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2546645415546646E-2"/>
                  <c:y val="1.4388489208633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64072353328E-2"/>
                  <c:y val="1.147041085883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07E-2"/>
                  <c:y val="1.3400335008375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881190363649727E-2"/>
                  <c:y val="1.147041085883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</c:strCache>
            </c:strRef>
          </c:cat>
          <c:val>
            <c:numRef>
              <c:f>Sheet1!$D$2:$D$5</c:f>
              <c:numCache>
                <c:formatCode>_(* #,##0_);_(* \(#,##0\);_(* "-"_);_(@_)</c:formatCode>
                <c:ptCount val="4"/>
                <c:pt idx="0">
                  <c:v>67233.450109710262</c:v>
                </c:pt>
                <c:pt idx="1">
                  <c:v>70591.862049572155</c:v>
                </c:pt>
                <c:pt idx="2">
                  <c:v>77224.989495996226</c:v>
                </c:pt>
                <c:pt idx="3">
                  <c:v>69247.142598821069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Sambýli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45372238426297E-2"/>
                  <c:y val="1.5785405465093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745372238426297E-2"/>
                  <c:y val="1.3400266714233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430588379966423E-2"/>
                  <c:y val="1.5785405465093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745372238426297E-2"/>
                  <c:y val="1.5785405465093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</c:strCache>
            </c:strRef>
          </c:cat>
          <c:val>
            <c:numRef>
              <c:f>Sheet1!$E$2:$E$5</c:f>
              <c:numCache>
                <c:formatCode>_(* #,##0_);_(* \(#,##0\);_(* "-"_);_(@_)</c:formatCode>
                <c:ptCount val="4"/>
                <c:pt idx="0">
                  <c:v>39235.658785942498</c:v>
                </c:pt>
                <c:pt idx="1">
                  <c:v>39600.114480991026</c:v>
                </c:pt>
                <c:pt idx="2">
                  <c:v>39388.269121813028</c:v>
                </c:pt>
                <c:pt idx="3">
                  <c:v>39513.918209876538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939520"/>
        <c:axId val="128941056"/>
      </c:barChart>
      <c:catAx>
        <c:axId val="12893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941056"/>
        <c:crosses val="autoZero"/>
        <c:auto val="1"/>
        <c:lblAlgn val="ctr"/>
        <c:lblOffset val="100"/>
        <c:noMultiLvlLbl val="0"/>
      </c:catAx>
      <c:valAx>
        <c:axId val="128941056"/>
        <c:scaling>
          <c:orientation val="minMax"/>
          <c:max val="120000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_(* #,##0_);_(* \(#,##0\);_(* &quot;-&quot;_);_(@_)" sourceLinked="1"/>
        <c:majorTickMark val="out"/>
        <c:minorTickMark val="none"/>
        <c:tickLblPos val="nextTo"/>
        <c:crossAx val="128939520"/>
        <c:crosses val="autoZero"/>
        <c:crossBetween val="between"/>
        <c:majorUnit val="20000"/>
        <c:minorUnit val="2000"/>
      </c:valAx>
    </c:plotArea>
    <c:legend>
      <c:legendPos val="b"/>
      <c:layout/>
      <c:overlay val="0"/>
      <c:spPr>
        <a:ln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Verdana" pitchFamily="34" charset="0"/>
        </a:defRPr>
      </a:pPr>
      <a:endParaRPr lang="is-I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Sveitarfélög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Sheet1!$A$2:$A$18</c:f>
              <c:strCache>
                <c:ptCount val="17"/>
                <c:pt idx="0">
                  <c:v>1998 (2.744)</c:v>
                </c:pt>
                <c:pt idx="1">
                  <c:v>1999 (3.737)</c:v>
                </c:pt>
                <c:pt idx="2">
                  <c:v>2000 (4.198)</c:v>
                </c:pt>
                <c:pt idx="3">
                  <c:v>2001 (4.611)</c:v>
                </c:pt>
                <c:pt idx="4">
                  <c:v>2002 (5.994)</c:v>
                </c:pt>
                <c:pt idx="5">
                  <c:v>2003 (8.312)</c:v>
                </c:pt>
                <c:pt idx="6">
                  <c:v>2004 (9.505)</c:v>
                </c:pt>
                <c:pt idx="7">
                  <c:v>2005 (9.767)</c:v>
                </c:pt>
                <c:pt idx="8">
                  <c:v>2006 (9.716)</c:v>
                </c:pt>
                <c:pt idx="9">
                  <c:v>2007 (9.321)</c:v>
                </c:pt>
                <c:pt idx="10">
                  <c:v>2008 (10.106)</c:v>
                </c:pt>
                <c:pt idx="11">
                  <c:v>2009 (12.624)</c:v>
                </c:pt>
                <c:pt idx="12">
                  <c:v>2010 (13.712)</c:v>
                </c:pt>
                <c:pt idx="13">
                  <c:v>2011 (14.055)</c:v>
                </c:pt>
                <c:pt idx="14">
                  <c:v>2012 (13.885)</c:v>
                </c:pt>
                <c:pt idx="15">
                  <c:v>2013 (14.384)</c:v>
                </c:pt>
                <c:pt idx="16">
                  <c:v>2014 (15.362)</c:v>
                </c:pt>
              </c:strCache>
            </c:strRef>
          </c:cat>
          <c:val>
            <c:numRef>
              <c:f>Sheet1!$B$2:$B$18</c:f>
              <c:numCache>
                <c:formatCode>_-* #,##0\ _k_r_._-;\-* #,##0\ _k_r_._-;_-* "-"??\ _k_r_._-;_-@_-</c:formatCode>
                <c:ptCount val="17"/>
                <c:pt idx="0">
                  <c:v>961.70799999999997</c:v>
                </c:pt>
                <c:pt idx="1">
                  <c:v>1176.2080000000001</c:v>
                </c:pt>
                <c:pt idx="2">
                  <c:v>1260.49</c:v>
                </c:pt>
                <c:pt idx="3">
                  <c:v>1399.5889999999999</c:v>
                </c:pt>
                <c:pt idx="4">
                  <c:v>1763.0650000000001</c:v>
                </c:pt>
                <c:pt idx="5">
                  <c:v>2298.0920000000001</c:v>
                </c:pt>
                <c:pt idx="6">
                  <c:v>2622.92</c:v>
                </c:pt>
                <c:pt idx="7">
                  <c:v>2652.9630000000002</c:v>
                </c:pt>
                <c:pt idx="8">
                  <c:v>2466.1550000000002</c:v>
                </c:pt>
                <c:pt idx="9">
                  <c:v>2327.1320000000001</c:v>
                </c:pt>
                <c:pt idx="10">
                  <c:v>3070.806</c:v>
                </c:pt>
                <c:pt idx="11">
                  <c:v>3814.7869999999998</c:v>
                </c:pt>
                <c:pt idx="12">
                  <c:v>3969.7860000000001</c:v>
                </c:pt>
                <c:pt idx="13">
                  <c:v>3936.3040000000001</c:v>
                </c:pt>
                <c:pt idx="14">
                  <c:v>3781.71</c:v>
                </c:pt>
                <c:pt idx="15">
                  <c:v>4367.4660000000003</c:v>
                </c:pt>
                <c:pt idx="16">
                  <c:v>4617.9340000000002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960768"/>
        <c:axId val="67170304"/>
      </c:barChart>
      <c:catAx>
        <c:axId val="12896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170304"/>
        <c:crosses val="autoZero"/>
        <c:auto val="1"/>
        <c:lblAlgn val="ctr"/>
        <c:lblOffset val="100"/>
        <c:noMultiLvlLbl val="0"/>
      </c:catAx>
      <c:valAx>
        <c:axId val="6717030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#,##0.0" sourceLinked="0"/>
        <c:majorTickMark val="out"/>
        <c:minorTickMark val="none"/>
        <c:tickLblPos val="nextTo"/>
        <c:crossAx val="128960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n>
            <a:noFill/>
          </a:ln>
          <a:latin typeface="Verdana" pitchFamily="34" charset="0"/>
        </a:defRPr>
      </a:pPr>
      <a:endParaRPr lang="is-IS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Áætlun sveitarfélaga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4"/>
              <c:layout>
                <c:manualLayout>
                  <c:x val="-1.8700327255726974E-2"/>
                  <c:y val="6.3341250989707044E-3"/>
                </c:manualLayout>
              </c:layout>
              <c:spPr/>
              <c:txPr>
                <a:bodyPr rot="0"/>
                <a:lstStyle/>
                <a:p>
                  <a:pPr>
                    <a:defRPr sz="800"/>
                  </a:pPr>
                  <a:endParaRPr lang="is-I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2400000"/>
              <a:lstStyle/>
              <a:p>
                <a:pPr>
                  <a:defRPr sz="800"/>
                </a:pPr>
                <a:endParaRPr lang="is-I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</c:v>
                </c:pt>
                <c:pt idx="1">
                  <c:v>II. ársfj.</c:v>
                </c:pt>
                <c:pt idx="2">
                  <c:v>III. ársfj.</c:v>
                </c:pt>
                <c:pt idx="3">
                  <c:v>IV. ársfj.</c:v>
                </c:pt>
                <c:pt idx="4">
                  <c:v>Heildar gr. 2014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320.25299999999999</c:v>
                </c:pt>
                <c:pt idx="1">
                  <c:v>327.286</c:v>
                </c:pt>
                <c:pt idx="2">
                  <c:v>329.43299999999999</c:v>
                </c:pt>
                <c:pt idx="3" formatCode="#,##0.0">
                  <c:v>340.73099999999999</c:v>
                </c:pt>
                <c:pt idx="4" formatCode="#,##0.0">
                  <c:v>1317.703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Raungreiðsla sveitarfélaga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4"/>
              <c:layout>
                <c:manualLayout>
                  <c:x val="1.4960261804581581E-2"/>
                  <c:y val="9.5011876484560574E-3"/>
                </c:manualLayout>
              </c:layout>
              <c:spPr/>
              <c:txPr>
                <a:bodyPr rot="0"/>
                <a:lstStyle/>
                <a:p>
                  <a:pPr>
                    <a:defRPr sz="800"/>
                  </a:pPr>
                  <a:endParaRPr lang="is-I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2400000"/>
              <a:lstStyle/>
              <a:p>
                <a:pPr>
                  <a:defRPr sz="800"/>
                </a:pPr>
                <a:endParaRPr lang="is-I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</c:v>
                </c:pt>
                <c:pt idx="1">
                  <c:v>II. ársfj.</c:v>
                </c:pt>
                <c:pt idx="2">
                  <c:v>III. ársfj.</c:v>
                </c:pt>
                <c:pt idx="3">
                  <c:v>IV. ársfj.</c:v>
                </c:pt>
                <c:pt idx="4">
                  <c:v>Heildar gr. 2014</c:v>
                </c:pt>
              </c:strCache>
            </c:strRef>
          </c:cat>
          <c:val>
            <c:numRef>
              <c:f>Sheet1!$C$2:$C$6</c:f>
              <c:numCache>
                <c:formatCode>0.0</c:formatCode>
                <c:ptCount val="5"/>
                <c:pt idx="0">
                  <c:v>326.58600000000001</c:v>
                </c:pt>
                <c:pt idx="1">
                  <c:v>338.52800000000002</c:v>
                </c:pt>
                <c:pt idx="2">
                  <c:v>338.32600000000002</c:v>
                </c:pt>
                <c:pt idx="3" formatCode="#,##0.0">
                  <c:v>342.40499999999997</c:v>
                </c:pt>
                <c:pt idx="4" formatCode="#,##0.0">
                  <c:v>1345.845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Jöfnunarsjóður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2.4310425432445069E-2"/>
                  <c:y val="-9.50118764845605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310425432445069E-2"/>
                  <c:y val="-3.16706254948535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05049088359053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310425432445069E-2"/>
                  <c:y val="-9.50118764845605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4801309022907905E-3"/>
                  <c:y val="1.5835312747426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2400000"/>
              <a:lstStyle/>
              <a:p>
                <a:pPr>
                  <a:defRPr sz="800"/>
                </a:pPr>
                <a:endParaRPr lang="is-I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</c:v>
                </c:pt>
                <c:pt idx="1">
                  <c:v>II. ársfj.</c:v>
                </c:pt>
                <c:pt idx="2">
                  <c:v>III. ársfj.</c:v>
                </c:pt>
                <c:pt idx="3">
                  <c:v>IV. ársfj.</c:v>
                </c:pt>
                <c:pt idx="4">
                  <c:v>Heildar gr. 2014</c:v>
                </c:pt>
              </c:strCache>
            </c:strRef>
          </c:cat>
          <c:val>
            <c:numRef>
              <c:f>Sheet1!$D$2:$D$6</c:f>
              <c:numCache>
                <c:formatCode>0.0</c:formatCode>
                <c:ptCount val="5"/>
                <c:pt idx="0">
                  <c:v>195.952</c:v>
                </c:pt>
                <c:pt idx="1">
                  <c:v>203.11600000000001</c:v>
                </c:pt>
                <c:pt idx="2">
                  <c:v>202.99600000000001</c:v>
                </c:pt>
                <c:pt idx="3">
                  <c:v>205.44300000000001</c:v>
                </c:pt>
                <c:pt idx="4" formatCode="#,##0.0">
                  <c:v>809.5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139328"/>
        <c:axId val="135140864"/>
      </c:barChart>
      <c:catAx>
        <c:axId val="13513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140864"/>
        <c:crosses val="autoZero"/>
        <c:auto val="1"/>
        <c:lblAlgn val="ctr"/>
        <c:lblOffset val="100"/>
        <c:noMultiLvlLbl val="0"/>
      </c:catAx>
      <c:valAx>
        <c:axId val="1351408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#,##0.0" sourceLinked="0"/>
        <c:majorTickMark val="out"/>
        <c:minorTickMark val="none"/>
        <c:tickLblPos val="nextTo"/>
        <c:crossAx val="135139328"/>
        <c:crosses val="autoZero"/>
        <c:crossBetween val="between"/>
      </c:valAx>
    </c:plotArea>
    <c:legend>
      <c:legendPos val="b"/>
      <c:layout/>
      <c:overlay val="0"/>
      <c:spPr>
        <a:ln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n>
            <a:noFill/>
          </a:ln>
          <a:latin typeface="Verdana" pitchFamily="34" charset="0"/>
        </a:defRPr>
      </a:pPr>
      <a:endParaRPr lang="is-IS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Almennar íbúðir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-1.0908570313008421E-2"/>
                  <c:y val="1.2529620238148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427170777206583E-2"/>
                  <c:y val="8.1754121820043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038567493112945E-2"/>
                  <c:y val="7.53295668549906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223140495867791E-2"/>
                  <c:y val="4.73010641111721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444921316165951E-2"/>
                  <c:y val="7.2859744990892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Heildargr. 2014</c:v>
                </c:pt>
              </c:strCache>
            </c:strRef>
          </c:cat>
          <c:val>
            <c:numRef>
              <c:f>Sheet1!$B$2:$B$6</c:f>
              <c:numCache>
                <c:formatCode>#,##0.0</c:formatCode>
                <c:ptCount val="5"/>
                <c:pt idx="0">
                  <c:v>153.98699999999999</c:v>
                </c:pt>
                <c:pt idx="1">
                  <c:v>162.892</c:v>
                </c:pt>
                <c:pt idx="2">
                  <c:v>163.62299999999999</c:v>
                </c:pt>
                <c:pt idx="3">
                  <c:v>165.73599999999999</c:v>
                </c:pt>
                <c:pt idx="4">
                  <c:v>646.23800000000006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Félagslegar íbúðir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3.6462549619314362E-3"/>
                  <c:y val="7.25401450802901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172772824884494E-3"/>
                  <c:y val="1.1461342922685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8323246784234766E-4"/>
                  <c:y val="9.7645933793159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162404286241091E-3"/>
                  <c:y val="1.581148510282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Heildargr. 2014</c:v>
                </c:pt>
              </c:strCache>
            </c:strRef>
          </c:cat>
          <c:val>
            <c:numRef>
              <c:f>Sheet1!$C$2:$C$6</c:f>
              <c:numCache>
                <c:formatCode>#,##0.0</c:formatCode>
                <c:ptCount val="5"/>
                <c:pt idx="0">
                  <c:v>168.649</c:v>
                </c:pt>
                <c:pt idx="1">
                  <c:v>171.29900000000001</c:v>
                </c:pt>
                <c:pt idx="2">
                  <c:v>170.733</c:v>
                </c:pt>
                <c:pt idx="3">
                  <c:v>172.27099999999999</c:v>
                </c:pt>
                <c:pt idx="4">
                  <c:v>682.952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Námsgarðar/heimavistir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2951562872822714E-3"/>
                  <c:y val="1.0498687664041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802390403678917E-3"/>
                  <c:y val="9.76405081147803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549532548100911E-4"/>
                  <c:y val="3.06469443257577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9867681829027624E-4"/>
                  <c:y val="6.3187450405908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Heildargr. 2014</c:v>
                </c:pt>
              </c:strCache>
            </c:strRef>
          </c:cat>
          <c:val>
            <c:numRef>
              <c:f>Sheet1!$D$2:$D$6</c:f>
              <c:numCache>
                <c:formatCode>#,##0.0</c:formatCode>
                <c:ptCount val="5"/>
                <c:pt idx="0">
                  <c:v>3.3069999999999999</c:v>
                </c:pt>
                <c:pt idx="1">
                  <c:v>3.6629999999999998</c:v>
                </c:pt>
                <c:pt idx="2">
                  <c:v>3.2639999999999998</c:v>
                </c:pt>
                <c:pt idx="3">
                  <c:v>3.6850000000000001</c:v>
                </c:pt>
                <c:pt idx="4">
                  <c:v>13.919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Sambýli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439863472001623E-3"/>
                  <c:y val="1.6457410036860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74998028679893E-3"/>
                  <c:y val="1.0004446165540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66552893334687E-3"/>
                  <c:y val="9.17143553777089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439863472001623E-3"/>
                  <c:y val="2.0100397286404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I. ársfj. 2014</c:v>
                </c:pt>
                <c:pt idx="1">
                  <c:v>II. ársfj. 2014</c:v>
                </c:pt>
                <c:pt idx="2">
                  <c:v>III. ársfj. 2014</c:v>
                </c:pt>
                <c:pt idx="3">
                  <c:v>IV. ársfj. 2014</c:v>
                </c:pt>
                <c:pt idx="4">
                  <c:v>Heildargr. 2014</c:v>
                </c:pt>
              </c:strCache>
            </c:strRef>
          </c:cat>
          <c:val>
            <c:numRef>
              <c:f>Sheet1!$E$2:$E$6</c:f>
              <c:numCache>
                <c:formatCode>0.0</c:formatCode>
                <c:ptCount val="5"/>
                <c:pt idx="0">
                  <c:v>0.64200000000000002</c:v>
                </c:pt>
                <c:pt idx="1">
                  <c:v>0.67200000000000004</c:v>
                </c:pt>
                <c:pt idx="2">
                  <c:v>0.70499999999999996</c:v>
                </c:pt>
                <c:pt idx="3">
                  <c:v>0.71099999999999997</c:v>
                </c:pt>
                <c:pt idx="4">
                  <c:v>2.73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38336"/>
        <c:axId val="146639872"/>
      </c:barChart>
      <c:catAx>
        <c:axId val="14663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6639872"/>
        <c:crosses val="autoZero"/>
        <c:auto val="1"/>
        <c:lblAlgn val="ctr"/>
        <c:lblOffset val="100"/>
        <c:noMultiLvlLbl val="0"/>
      </c:catAx>
      <c:valAx>
        <c:axId val="1466398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0"/>
        <c:majorTickMark val="out"/>
        <c:minorTickMark val="none"/>
        <c:tickLblPos val="nextTo"/>
        <c:crossAx val="146638336"/>
        <c:crosses val="autoZero"/>
        <c:crossBetween val="between"/>
      </c:valAx>
    </c:plotArea>
    <c:legend>
      <c:legendPos val="b"/>
      <c:layout/>
      <c:overlay val="0"/>
      <c:spPr>
        <a:ln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Verdana" pitchFamily="34" charset="0"/>
        </a:defRPr>
      </a:pPr>
      <a:endParaRPr lang="is-I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0.10881</cdr:x>
      <cdr:y>0</cdr:y>
    </cdr:from>
    <cdr:to>
      <cdr:x>0.28518</cdr:x>
      <cdr:y>0.2551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38458" y="-2133600"/>
          <a:ext cx="1034834" cy="7994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s-IS" sz="800">
              <a:latin typeface="Verdana" pitchFamily="34" charset="0"/>
            </a:rPr>
            <a:t>Tölur í millj. kr.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0.81024</cdr:x>
      <cdr:y>0</cdr:y>
    </cdr:from>
    <cdr:to>
      <cdr:x>0.98661</cdr:x>
      <cdr:y>0.06481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572070" y="0"/>
          <a:ext cx="1212905" cy="2308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s-IS" sz="800">
              <a:latin typeface="Verdana" pitchFamily="34" charset="0"/>
            </a:rPr>
            <a:t>Tölur í millj. kr.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0.0928</cdr:x>
      <cdr:y>0</cdr:y>
    </cdr:from>
    <cdr:to>
      <cdr:x>0.29245</cdr:x>
      <cdr:y>0.15556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548898" y="-6829425"/>
          <a:ext cx="1180935" cy="431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is-IS" sz="800">
              <a:latin typeface="Verdana" pitchFamily="34" charset="0"/>
            </a:rPr>
            <a:t>Tölur í millj. kr.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0.09558</cdr:x>
      <cdr:y>0.16939</cdr:y>
    </cdr:from>
    <cdr:to>
      <cdr:x>0.25679</cdr:x>
      <cdr:y>0.24113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670035" y="682465"/>
          <a:ext cx="1130190" cy="2890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rot="0" vertOverflow="clip" wrap="square" rtlCol="0"/>
        <a:lstStyle xmlns:a="http://schemas.openxmlformats.org/drawingml/2006/main"/>
        <a:p xmlns:a="http://schemas.openxmlformats.org/drawingml/2006/main">
          <a:r>
            <a:rPr lang="is-IS" sz="700">
              <a:latin typeface="Verdana" pitchFamily="34" charset="0"/>
            </a:rPr>
            <a:t>(fjöldi bótaþega)</a:t>
          </a:r>
        </a:p>
      </cdr:txBody>
    </cdr:sp>
  </cdr:relSizeAnchor>
  <cdr:relSizeAnchor xmlns:cdr="http://schemas.openxmlformats.org/drawingml/2006/chartDrawing">
    <cdr:from>
      <cdr:x>0.09563</cdr:x>
      <cdr:y>0.08122</cdr:y>
    </cdr:from>
    <cdr:to>
      <cdr:x>0.39669</cdr:x>
      <cdr:y>0.15421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666751" y="331111"/>
          <a:ext cx="2099092" cy="2975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s-IS" sz="800">
              <a:latin typeface="Verdana" pitchFamily="34" charset="0"/>
            </a:rPr>
            <a:t>M.kr. m.v. verðlag</a:t>
          </a:r>
          <a:r>
            <a:rPr lang="is-IS" sz="800" baseline="0">
              <a:latin typeface="Verdana" pitchFamily="34" charset="0"/>
            </a:rPr>
            <a:t> ársins 2013</a:t>
          </a:r>
          <a:endParaRPr lang="is-IS" sz="800">
            <a:latin typeface="Verdana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0.10413</cdr:x>
      <cdr:y>0</cdr:y>
    </cdr:from>
    <cdr:to>
      <cdr:x>0.2805</cdr:x>
      <cdr:y>0.2551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00073" y="0"/>
          <a:ext cx="1016354" cy="8188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s-IS" sz="800">
              <a:latin typeface="Verdana" pitchFamily="34" charset="0"/>
            </a:rPr>
            <a:t>Tölur í millj. kr.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0.0815</cdr:x>
      <cdr:y>0.01913</cdr:y>
    </cdr:from>
    <cdr:to>
      <cdr:x>0.23319</cdr:x>
      <cdr:y>0.10656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542595" y="66676"/>
          <a:ext cx="100998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is-IS" sz="800">
              <a:latin typeface="Verdana" pitchFamily="34" charset="0"/>
            </a:rPr>
            <a:t>Tölur í millj. kr.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0.1113</cdr:x>
      <cdr:y>0.02909</cdr:y>
    </cdr:from>
    <cdr:to>
      <cdr:x>0.33733</cdr:x>
      <cdr:y>0.19273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619125" y="76200"/>
          <a:ext cx="1257300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s-IS" sz="800">
              <a:latin typeface="Verdana" pitchFamily="34" charset="0"/>
            </a:rPr>
            <a:t>M.kr.</a:t>
          </a:r>
          <a:r>
            <a:rPr lang="is-IS" sz="800" baseline="0">
              <a:latin typeface="Verdana" pitchFamily="34" charset="0"/>
            </a:rPr>
            <a:t> m.v. verðlag ársins 2014</a:t>
          </a:r>
          <a:endParaRPr lang="is-IS" sz="800">
            <a:latin typeface="Verdana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03DB-81FB-47B1-A731-266492A9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Árni Gíslason</dc:creator>
  <cp:lastModifiedBy>Jóhannes Tómasson</cp:lastModifiedBy>
  <cp:revision>2</cp:revision>
  <cp:lastPrinted>2015-03-19T14:23:00Z</cp:lastPrinted>
  <dcterms:created xsi:type="dcterms:W3CDTF">2015-04-09T10:59:00Z</dcterms:created>
  <dcterms:modified xsi:type="dcterms:W3CDTF">2015-04-09T10:59:00Z</dcterms:modified>
</cp:coreProperties>
</file>