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9"/>
        <w:gridCol w:w="7633"/>
      </w:tblGrid>
      <w:tr w:rsidR="00123802" w:rsidRPr="008C7E5F" w14:paraId="76EA4E5A" w14:textId="77777777" w:rsidTr="002F5C51">
        <w:tc>
          <w:tcPr>
            <w:tcW w:w="793" w:type="pct"/>
            <w:tcBorders>
              <w:bottom w:val="single" w:sz="18" w:space="0" w:color="auto"/>
              <w:right w:val="single" w:sz="18" w:space="0" w:color="auto"/>
            </w:tcBorders>
          </w:tcPr>
          <w:p w14:paraId="43328152" w14:textId="77777777" w:rsidR="00123802" w:rsidRPr="008C7E5F" w:rsidRDefault="00123802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Boðandi: </w:t>
            </w:r>
          </w:p>
        </w:tc>
        <w:tc>
          <w:tcPr>
            <w:tcW w:w="4206" w:type="pct"/>
            <w:tcBorders>
              <w:left w:val="single" w:sz="18" w:space="0" w:color="auto"/>
              <w:bottom w:val="single" w:sz="18" w:space="0" w:color="auto"/>
            </w:tcBorders>
          </w:tcPr>
          <w:p w14:paraId="0397F04C" w14:textId="77777777" w:rsidR="00123802" w:rsidRPr="008C7E5F" w:rsidRDefault="00E10A34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Unnur Valborg Hilmarsdóttir</w:t>
            </w:r>
          </w:p>
        </w:tc>
      </w:tr>
      <w:tr w:rsidR="00123802" w:rsidRPr="008C7E5F" w14:paraId="0F591292" w14:textId="77777777" w:rsidTr="002F5C51">
        <w:tc>
          <w:tcPr>
            <w:tcW w:w="7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CBC1F" w14:textId="77777777" w:rsidR="00123802" w:rsidRPr="008C7E5F" w:rsidRDefault="00123802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Dags: </w:t>
            </w:r>
          </w:p>
        </w:tc>
        <w:tc>
          <w:tcPr>
            <w:tcW w:w="42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A59BA9D" w14:textId="560F2372" w:rsidR="00123802" w:rsidRPr="008C7E5F" w:rsidRDefault="00A81F6A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  <w:r w:rsidR="00E10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</w:tr>
      <w:tr w:rsidR="00123802" w:rsidRPr="008C7E5F" w14:paraId="42617FBF" w14:textId="77777777" w:rsidTr="002F5C51">
        <w:tc>
          <w:tcPr>
            <w:tcW w:w="7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A3657" w14:textId="77777777" w:rsidR="00123802" w:rsidRPr="008C7E5F" w:rsidRDefault="00123802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Boðaðir: </w:t>
            </w:r>
          </w:p>
        </w:tc>
        <w:tc>
          <w:tcPr>
            <w:tcW w:w="42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9739680" w14:textId="76213E74" w:rsidR="00123802" w:rsidRPr="00CD0688" w:rsidRDefault="00BE3CAB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Unnur Valborg Hilmarsdóttir, Eva Björk Harðardóttir, Aldís Hafsteinsdóttir, Ásbjörn Þ Björgvinsson, Díana Mjöll Sveinsdóttir, Hjálmar Sveinsson, Ingibjörg Guðrún Guðjónsdóttir, </w:t>
            </w:r>
            <w:r w:rsidR="00A81F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Pétur Óskarsson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Sævar Skaptason, Þórir Garðarsson, Skarphéðinn Berg Steinarsson og </w:t>
            </w:r>
            <w:r w:rsidR="00613B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Sunna Þórðardóttir</w:t>
            </w:r>
          </w:p>
        </w:tc>
      </w:tr>
      <w:tr w:rsidR="00123802" w:rsidRPr="008C7E5F" w14:paraId="7E824174" w14:textId="77777777" w:rsidTr="002F5C51">
        <w:tc>
          <w:tcPr>
            <w:tcW w:w="7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E94A9" w14:textId="77777777" w:rsidR="00123802" w:rsidRPr="008C7E5F" w:rsidRDefault="00123802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Fundarmenn: </w:t>
            </w:r>
          </w:p>
        </w:tc>
        <w:tc>
          <w:tcPr>
            <w:tcW w:w="42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A49DBCD" w14:textId="14B2D81D" w:rsidR="00123802" w:rsidRPr="008C7E5F" w:rsidRDefault="00BE3CAB" w:rsidP="00752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Unnur Valborg Hilmarsdóttir, </w:t>
            </w:r>
            <w:r w:rsidR="00292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Eva Björk Harðardóttir,</w:t>
            </w:r>
            <w:r w:rsidR="0029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Ingibjörg Guðrún Guðjónsdóttir,</w:t>
            </w:r>
            <w:r w:rsidR="0029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2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Ásbjörn Þ Björgvinsson</w:t>
            </w:r>
            <w:r w:rsidR="0075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Sævar Skaptason, </w:t>
            </w:r>
            <w:bookmarkStart w:id="0" w:name="_GoBack"/>
            <w:bookmarkEnd w:id="0"/>
            <w:r w:rsidR="00754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Skarphéðinn Berg Steinarsson, </w:t>
            </w:r>
            <w:r w:rsidR="0029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Sunna Þórðardóttir</w:t>
            </w:r>
          </w:p>
        </w:tc>
      </w:tr>
      <w:tr w:rsidR="0075407A" w:rsidRPr="008C7E5F" w14:paraId="3493A905" w14:textId="77777777" w:rsidTr="002F5C51">
        <w:tc>
          <w:tcPr>
            <w:tcW w:w="7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15F440" w14:textId="77777777" w:rsidR="0075407A" w:rsidRPr="008C7E5F" w:rsidRDefault="0075407A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Gestir fundarins</w:t>
            </w:r>
          </w:p>
        </w:tc>
        <w:tc>
          <w:tcPr>
            <w:tcW w:w="42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34837DA" w14:textId="2372F6B2" w:rsidR="0075407A" w:rsidRDefault="00A81F6A" w:rsidP="00752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Ásta Kristín Sigurjónsdóttir frá íslenska ferðaklasanum. Þórdís Kolbrún R. Gylfadóttir, ráðherra</w:t>
            </w:r>
          </w:p>
        </w:tc>
      </w:tr>
      <w:tr w:rsidR="0038785B" w:rsidRPr="008C7E5F" w14:paraId="001A40C0" w14:textId="77777777" w:rsidTr="002F5C51">
        <w:tc>
          <w:tcPr>
            <w:tcW w:w="7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93B7EC" w14:textId="05130786" w:rsidR="0038785B" w:rsidRDefault="00DC4395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Boðuð </w:t>
            </w:r>
            <w:r w:rsidR="00387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forföll</w:t>
            </w:r>
          </w:p>
        </w:tc>
        <w:tc>
          <w:tcPr>
            <w:tcW w:w="42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303B3EC" w14:textId="4ABF0FAC" w:rsidR="0038785B" w:rsidRDefault="0038785B" w:rsidP="007521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Aldís Hafsteinsdóttir,</w:t>
            </w:r>
            <w:r w:rsidR="00753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Díana Mjöll Sveinsdóttir,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Hjálmar Sveinsson</w:t>
            </w:r>
            <w:r w:rsidR="00753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Pétur Óskarsson</w:t>
            </w:r>
          </w:p>
        </w:tc>
      </w:tr>
      <w:tr w:rsidR="00123802" w:rsidRPr="008C7E5F" w14:paraId="751CF678" w14:textId="77777777" w:rsidTr="002F5C51">
        <w:tc>
          <w:tcPr>
            <w:tcW w:w="7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8045A" w14:textId="77777777" w:rsidR="00123802" w:rsidRPr="008C7E5F" w:rsidRDefault="00123802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Bréfalykill: </w:t>
            </w:r>
          </w:p>
        </w:tc>
        <w:tc>
          <w:tcPr>
            <w:tcW w:w="42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5BBAE0" w14:textId="77777777" w:rsidR="00123802" w:rsidRPr="008C7E5F" w:rsidRDefault="00123802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</w:t>
            </w:r>
          </w:p>
        </w:tc>
      </w:tr>
      <w:tr w:rsidR="00123802" w:rsidRPr="008C7E5F" w14:paraId="6511F380" w14:textId="77777777" w:rsidTr="007539E8">
        <w:trPr>
          <w:trHeight w:val="25"/>
        </w:trPr>
        <w:tc>
          <w:tcPr>
            <w:tcW w:w="7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8444A" w14:textId="77777777" w:rsidR="00123802" w:rsidRPr="008C7E5F" w:rsidRDefault="00123802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Málsnúmer: </w:t>
            </w:r>
          </w:p>
        </w:tc>
        <w:tc>
          <w:tcPr>
            <w:tcW w:w="42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AD0BDE5" w14:textId="77777777" w:rsidR="00123802" w:rsidRPr="008C7E5F" w:rsidRDefault="006A5C74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ANR18010128</w:t>
            </w:r>
          </w:p>
        </w:tc>
      </w:tr>
      <w:tr w:rsidR="00123802" w:rsidRPr="008C7E5F" w14:paraId="373E9EF6" w14:textId="77777777" w:rsidTr="002F5C51">
        <w:tc>
          <w:tcPr>
            <w:tcW w:w="7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75255" w14:textId="77777777" w:rsidR="00123802" w:rsidRPr="008C7E5F" w:rsidRDefault="00123802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FDE891B" w14:textId="77777777" w:rsidR="00123802" w:rsidRPr="008C7E5F" w:rsidRDefault="00123802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802" w:rsidRPr="008C7E5F" w14:paraId="4C096149" w14:textId="77777777" w:rsidTr="002F5C51">
        <w:tc>
          <w:tcPr>
            <w:tcW w:w="793" w:type="pct"/>
            <w:tcBorders>
              <w:top w:val="single" w:sz="18" w:space="0" w:color="auto"/>
              <w:right w:val="single" w:sz="18" w:space="0" w:color="auto"/>
            </w:tcBorders>
          </w:tcPr>
          <w:p w14:paraId="78650826" w14:textId="77777777" w:rsidR="00123802" w:rsidRPr="008C7E5F" w:rsidRDefault="00123802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Efni: </w:t>
            </w:r>
          </w:p>
        </w:tc>
        <w:tc>
          <w:tcPr>
            <w:tcW w:w="4206" w:type="pct"/>
            <w:tcBorders>
              <w:top w:val="single" w:sz="18" w:space="0" w:color="auto"/>
              <w:left w:val="single" w:sz="18" w:space="0" w:color="auto"/>
            </w:tcBorders>
          </w:tcPr>
          <w:p w14:paraId="56F69044" w14:textId="11C302C2" w:rsidR="00123802" w:rsidRPr="008C7E5F" w:rsidRDefault="006A5C74" w:rsidP="002F5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81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fundur ferðamálaráðs</w:t>
            </w:r>
          </w:p>
        </w:tc>
      </w:tr>
    </w:tbl>
    <w:p w14:paraId="1EE60C88" w14:textId="77777777" w:rsidR="00A7046A" w:rsidRDefault="00A7046A"/>
    <w:p w14:paraId="42FA3126" w14:textId="77777777" w:rsidR="002922E1" w:rsidRDefault="002922E1">
      <w:pPr>
        <w:rPr>
          <w:b/>
        </w:rPr>
      </w:pPr>
    </w:p>
    <w:p w14:paraId="0C35CE39" w14:textId="02177C4F" w:rsidR="002922E1" w:rsidRDefault="002922E1">
      <w:pPr>
        <w:rPr>
          <w:b/>
        </w:rPr>
      </w:pPr>
      <w:r>
        <w:rPr>
          <w:b/>
        </w:rPr>
        <w:t>Dagskrá fundar:</w:t>
      </w:r>
    </w:p>
    <w:p w14:paraId="31F4A409" w14:textId="4F105AAB" w:rsidR="00A81F6A" w:rsidRDefault="005307EA" w:rsidP="00A81F6A">
      <w:pPr>
        <w:spacing w:before="100" w:beforeAutospacing="1" w:after="100" w:afterAutospacing="1"/>
      </w:pPr>
      <w:r>
        <w:t xml:space="preserve">1. </w:t>
      </w:r>
      <w:r w:rsidR="00A81F6A">
        <w:t>Ásta Kristín Sigurjónsdóttir - Framkvæmdastjóri Íslenska ferðaklasans, starfsemi ferðaklasans</w:t>
      </w:r>
      <w:r w:rsidR="00A81F6A">
        <w:br/>
      </w:r>
      <w:r w:rsidR="00A81F6A">
        <w:rPr>
          <w:lang w:val="en-US"/>
        </w:rPr>
        <w:t xml:space="preserve">2. </w:t>
      </w:r>
      <w:proofErr w:type="spellStart"/>
      <w:r w:rsidR="00A81F6A">
        <w:rPr>
          <w:lang w:val="en-US"/>
        </w:rPr>
        <w:t>Þórdís</w:t>
      </w:r>
      <w:proofErr w:type="spellEnd"/>
      <w:r w:rsidR="00A81F6A">
        <w:rPr>
          <w:lang w:val="en-US"/>
        </w:rPr>
        <w:t xml:space="preserve"> </w:t>
      </w:r>
      <w:proofErr w:type="spellStart"/>
      <w:r w:rsidR="00A81F6A">
        <w:rPr>
          <w:lang w:val="en-US"/>
        </w:rPr>
        <w:t>Kolbrún</w:t>
      </w:r>
      <w:proofErr w:type="spellEnd"/>
      <w:r w:rsidR="00A81F6A">
        <w:rPr>
          <w:lang w:val="en-US"/>
        </w:rPr>
        <w:t xml:space="preserve"> R. </w:t>
      </w:r>
      <w:proofErr w:type="spellStart"/>
      <w:r w:rsidR="00A81F6A">
        <w:rPr>
          <w:lang w:val="en-US"/>
        </w:rPr>
        <w:t>Gylfadóttir</w:t>
      </w:r>
      <w:proofErr w:type="spellEnd"/>
      <w:r w:rsidR="00A81F6A">
        <w:rPr>
          <w:lang w:val="en-US"/>
        </w:rPr>
        <w:t xml:space="preserve"> – </w:t>
      </w:r>
      <w:proofErr w:type="spellStart"/>
      <w:r w:rsidR="00A81F6A">
        <w:rPr>
          <w:lang w:val="en-US"/>
        </w:rPr>
        <w:t>ráðherra</w:t>
      </w:r>
      <w:proofErr w:type="spellEnd"/>
      <w:r w:rsidR="00A81F6A">
        <w:rPr>
          <w:lang w:val="en-US"/>
        </w:rPr>
        <w:t xml:space="preserve"> </w:t>
      </w:r>
      <w:proofErr w:type="spellStart"/>
      <w:r w:rsidR="00A81F6A">
        <w:rPr>
          <w:lang w:val="en-US"/>
        </w:rPr>
        <w:t>ferðamála</w:t>
      </w:r>
      <w:proofErr w:type="spellEnd"/>
      <w:r w:rsidR="00A81F6A">
        <w:rPr>
          <w:lang w:val="en-US"/>
        </w:rPr>
        <w:br/>
        <w:t xml:space="preserve">3. </w:t>
      </w:r>
      <w:proofErr w:type="spellStart"/>
      <w:r w:rsidR="00A81F6A">
        <w:rPr>
          <w:lang w:val="en-US"/>
        </w:rPr>
        <w:t>Önnur</w:t>
      </w:r>
      <w:proofErr w:type="spellEnd"/>
      <w:r w:rsidR="00A81F6A">
        <w:rPr>
          <w:lang w:val="en-US"/>
        </w:rPr>
        <w:t xml:space="preserve"> </w:t>
      </w:r>
      <w:proofErr w:type="spellStart"/>
      <w:r w:rsidR="00A81F6A">
        <w:rPr>
          <w:lang w:val="en-US"/>
        </w:rPr>
        <w:t>mál</w:t>
      </w:r>
      <w:proofErr w:type="spellEnd"/>
    </w:p>
    <w:p w14:paraId="7A7B7D2B" w14:textId="1EC911D4" w:rsidR="00123802" w:rsidRDefault="00123802">
      <w:pPr>
        <w:rPr>
          <w:b/>
        </w:rPr>
      </w:pPr>
      <w:r>
        <w:rPr>
          <w:b/>
        </w:rPr>
        <w:t xml:space="preserve">Frásögn af fundi </w:t>
      </w:r>
    </w:p>
    <w:p w14:paraId="62EF3D5E" w14:textId="51ACD78A" w:rsidR="00C953F5" w:rsidRDefault="007539E8">
      <w:r>
        <w:t>Ásta Kristín Sigurjónsdóttir f</w:t>
      </w:r>
      <w:r w:rsidR="00C953F5">
        <w:t xml:space="preserve">ór </w:t>
      </w:r>
      <w:r>
        <w:t>yfir starf ferðaklasans</w:t>
      </w:r>
      <w:r w:rsidR="00C953F5">
        <w:t>.</w:t>
      </w:r>
      <w:r w:rsidR="00C953F5">
        <w:br/>
        <w:t>Umræður um eðli klasans og mun</w:t>
      </w:r>
      <w:r w:rsidR="00F929D8">
        <w:t xml:space="preserve">inn </w:t>
      </w:r>
      <w:r w:rsidR="00C953F5">
        <w:t>á honum og öðrum klösum, í því sambandi var m.a. rætt um hver aðkoma ríkisins væri að klasanum og öðrum klösum, hver fjöldi starfsmanna er</w:t>
      </w:r>
      <w:r w:rsidR="00F929D8">
        <w:t>, hversu margir samningar væru við klasann</w:t>
      </w:r>
      <w:r w:rsidR="00221127">
        <w:t xml:space="preserve">, hver velta hans er </w:t>
      </w:r>
      <w:r w:rsidR="00C953F5">
        <w:t xml:space="preserve">og hversu vel starf klasans hefur gengið. </w:t>
      </w:r>
      <w:r w:rsidR="00F929D8">
        <w:t>Einnig var rætt að gott væri að vera með öryggisventil til að tryggja starfsemina ef að margir aðilar detta út.</w:t>
      </w:r>
    </w:p>
    <w:p w14:paraId="225BE65B" w14:textId="77777777" w:rsidR="00221127" w:rsidRDefault="00221127" w:rsidP="00DD1E61">
      <w:r>
        <w:t>Önnur mál:</w:t>
      </w:r>
    </w:p>
    <w:p w14:paraId="22C7EF73" w14:textId="6250ECB0" w:rsidR="003A30C4" w:rsidRDefault="00221127" w:rsidP="00DD1E61">
      <w:r>
        <w:t xml:space="preserve">Ferðamálastjóri </w:t>
      </w:r>
      <w:r w:rsidR="00CB6BE0">
        <w:t xml:space="preserve">fór yfir </w:t>
      </w:r>
      <w:r>
        <w:t xml:space="preserve">stöðuna varðandi markaðsstofur landshlutanna og hvernig úthlutun fjármagns til þeirra var háttað. </w:t>
      </w:r>
    </w:p>
    <w:p w14:paraId="18BE2835" w14:textId="2B36B93A" w:rsidR="00CB6BE0" w:rsidRDefault="007043FA" w:rsidP="00CB6BE0">
      <w:r>
        <w:t xml:space="preserve">Ráðherra </w:t>
      </w:r>
      <w:r w:rsidR="00CB6BE0">
        <w:t xml:space="preserve">ræddi ákvörðun um samræmdan dagafjölda og eftirlit varðandi skráningu á heimagistingu. </w:t>
      </w:r>
    </w:p>
    <w:p w14:paraId="19C327E8" w14:textId="461452A2" w:rsidR="00516C78" w:rsidRDefault="00CB6BE0" w:rsidP="00CB6BE0">
      <w:r>
        <w:t>Umræður um „</w:t>
      </w:r>
      <w:proofErr w:type="spellStart"/>
      <w:r>
        <w:t>one</w:t>
      </w:r>
      <w:proofErr w:type="spellEnd"/>
      <w:r>
        <w:t xml:space="preserve"> stop </w:t>
      </w:r>
      <w:proofErr w:type="spellStart"/>
      <w:r>
        <w:t>shop</w:t>
      </w:r>
      <w:proofErr w:type="spellEnd"/>
      <w:r>
        <w:t>“ á vefnum og tekjuleka út úr landinu vegna erlendra bókunarvef</w:t>
      </w:r>
      <w:r w:rsidR="00DC4395">
        <w:t>j</w:t>
      </w:r>
      <w:r>
        <w:t xml:space="preserve">a. Rætt um að skatturinn sé </w:t>
      </w:r>
      <w:r w:rsidR="00471EC3">
        <w:t xml:space="preserve">einungis </w:t>
      </w:r>
      <w:r>
        <w:t xml:space="preserve">með eftirlit með íslenskum aðilum og </w:t>
      </w:r>
      <w:r w:rsidR="00DC4395">
        <w:t>greina þurfi</w:t>
      </w:r>
      <w:r>
        <w:t xml:space="preserve"> hvað sé hægt að gera til að skapa eðlilega umgjörð fyrirtækja. Rætt um að íslensk fyrirtæki séu að flytja starfsemi úr landi vegna of hás starfsmannakostnaðar og ójafnar samkeppnisstöðu. </w:t>
      </w:r>
    </w:p>
    <w:p w14:paraId="10D87610" w14:textId="77777777" w:rsidR="00CB6BE0" w:rsidRDefault="00CB6BE0" w:rsidP="00DD1E61">
      <w:r>
        <w:t xml:space="preserve">Rætt um að ferðaþjónustan þurfi að fara að taka umhverfismálin föstum tökum. </w:t>
      </w:r>
    </w:p>
    <w:p w14:paraId="31D2D31C" w14:textId="0A3A89EC" w:rsidR="00471EC3" w:rsidRDefault="00CB6BE0" w:rsidP="00DD1E61">
      <w:r>
        <w:lastRenderedPageBreak/>
        <w:t xml:space="preserve">Ráðherra bendir á að hægt sé að </w:t>
      </w:r>
      <w:r w:rsidR="00B83C69">
        <w:t>sækja peninga í orkusjóð</w:t>
      </w:r>
      <w:r w:rsidR="00471EC3">
        <w:t xml:space="preserve"> og að því meira f</w:t>
      </w:r>
      <w:r w:rsidR="00B83C69">
        <w:t xml:space="preserve">rumkvæði </w:t>
      </w:r>
      <w:r w:rsidR="00471EC3">
        <w:t xml:space="preserve">sem komi </w:t>
      </w:r>
      <w:r w:rsidR="00B83C69">
        <w:t xml:space="preserve">frá greininni </w:t>
      </w:r>
      <w:r w:rsidR="00471EC3">
        <w:t>þ</w:t>
      </w:r>
      <w:r w:rsidR="00B83C69">
        <w:t xml:space="preserve">ví betra. </w:t>
      </w:r>
      <w:r w:rsidR="00471EC3">
        <w:t>Í því sambandi séu einnig mikil tækifæri varðandi ímynd landsins sem fer</w:t>
      </w:r>
      <w:r w:rsidR="00DC4395">
        <w:t>ð</w:t>
      </w:r>
      <w:r w:rsidR="00393F8B">
        <w:t>a</w:t>
      </w:r>
      <w:r w:rsidR="00471EC3">
        <w:t xml:space="preserve">mannalands. </w:t>
      </w:r>
    </w:p>
    <w:p w14:paraId="26D435FD" w14:textId="5FFCECBD" w:rsidR="00471EC3" w:rsidRDefault="00471EC3" w:rsidP="00471EC3">
      <w:r>
        <w:t>Sævar greinir frá verkefninu Hleðsla í hlað</w:t>
      </w:r>
      <w:r w:rsidR="00DC4395">
        <w:t>i</w:t>
      </w:r>
      <w:r>
        <w:t xml:space="preserve"> sem ferðaþjónusta bænda er </w:t>
      </w:r>
      <w:r w:rsidR="00DC4395">
        <w:t>stendur fyrir.</w:t>
      </w:r>
    </w:p>
    <w:p w14:paraId="1BEACFB5" w14:textId="77777777" w:rsidR="00EF2292" w:rsidRDefault="00EF2292" w:rsidP="00DD1E61"/>
    <w:p w14:paraId="164F0A28" w14:textId="7E1CBA8E" w:rsidR="00123802" w:rsidRPr="00DD1E61" w:rsidRDefault="00123802" w:rsidP="00DD1E61">
      <w:pPr>
        <w:rPr>
          <w:b/>
        </w:rPr>
      </w:pPr>
      <w:r w:rsidRPr="00DD1E61">
        <w:rPr>
          <w:b/>
        </w:rPr>
        <w:t>Niðurstaða og ákvarðanir</w:t>
      </w:r>
    </w:p>
    <w:p w14:paraId="62F9C017" w14:textId="77777777" w:rsidR="0086778F" w:rsidRPr="0086778F" w:rsidRDefault="0086778F"/>
    <w:p w14:paraId="224B28E5" w14:textId="28C647CB" w:rsidR="00123802" w:rsidRPr="00123802" w:rsidRDefault="00123802">
      <w:r>
        <w:t xml:space="preserve">Fundargerð ritaði </w:t>
      </w:r>
      <w:r w:rsidR="005307EA">
        <w:t>Sunna Þórðardóttir</w:t>
      </w:r>
    </w:p>
    <w:sectPr w:rsidR="00123802" w:rsidRPr="00123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C1FB9" w14:textId="77777777" w:rsidR="00140AAD" w:rsidRDefault="00140AAD" w:rsidP="00B7757B">
      <w:pPr>
        <w:spacing w:after="0" w:line="240" w:lineRule="auto"/>
      </w:pPr>
      <w:r>
        <w:separator/>
      </w:r>
    </w:p>
  </w:endnote>
  <w:endnote w:type="continuationSeparator" w:id="0">
    <w:p w14:paraId="72D26134" w14:textId="77777777" w:rsidR="00140AAD" w:rsidRDefault="00140AAD" w:rsidP="00B7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A142B" w14:textId="77777777" w:rsidR="00B7757B" w:rsidRDefault="00B7757B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03DA1" w14:textId="77777777" w:rsidR="00B7757B" w:rsidRDefault="00B7757B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B0A8B" w14:textId="77777777" w:rsidR="00B7757B" w:rsidRDefault="00B7757B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9CB2E" w14:textId="77777777" w:rsidR="00140AAD" w:rsidRDefault="00140AAD" w:rsidP="00B7757B">
      <w:pPr>
        <w:spacing w:after="0" w:line="240" w:lineRule="auto"/>
      </w:pPr>
      <w:r>
        <w:separator/>
      </w:r>
    </w:p>
  </w:footnote>
  <w:footnote w:type="continuationSeparator" w:id="0">
    <w:p w14:paraId="30A700AE" w14:textId="77777777" w:rsidR="00140AAD" w:rsidRDefault="00140AAD" w:rsidP="00B7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F91E8" w14:textId="489D3326" w:rsidR="00B7757B" w:rsidRDefault="00B7757B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2158D" w14:textId="51C01B56" w:rsidR="00B7757B" w:rsidRDefault="00B7757B">
    <w:pPr>
      <w:pStyle w:val="Suhau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9C918" w14:textId="75368BC6" w:rsidR="00B7757B" w:rsidRDefault="00B7757B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2F17"/>
    <w:multiLevelType w:val="hybridMultilevel"/>
    <w:tmpl w:val="81726AC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36319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02"/>
    <w:rsid w:val="00073E30"/>
    <w:rsid w:val="00085DF5"/>
    <w:rsid w:val="000B0C25"/>
    <w:rsid w:val="000B34FB"/>
    <w:rsid w:val="000E1C18"/>
    <w:rsid w:val="00123802"/>
    <w:rsid w:val="00140AAD"/>
    <w:rsid w:val="00221127"/>
    <w:rsid w:val="00270BC2"/>
    <w:rsid w:val="00284408"/>
    <w:rsid w:val="002922E1"/>
    <w:rsid w:val="002E3CEF"/>
    <w:rsid w:val="00363068"/>
    <w:rsid w:val="0038785B"/>
    <w:rsid w:val="00393F8B"/>
    <w:rsid w:val="003A30C4"/>
    <w:rsid w:val="003D3204"/>
    <w:rsid w:val="00402453"/>
    <w:rsid w:val="00433188"/>
    <w:rsid w:val="004661FB"/>
    <w:rsid w:val="004705E5"/>
    <w:rsid w:val="00471EC3"/>
    <w:rsid w:val="00474AEE"/>
    <w:rsid w:val="00516C78"/>
    <w:rsid w:val="005307EA"/>
    <w:rsid w:val="005A1E98"/>
    <w:rsid w:val="005B0E49"/>
    <w:rsid w:val="005C249E"/>
    <w:rsid w:val="005D4F79"/>
    <w:rsid w:val="00613B24"/>
    <w:rsid w:val="006470AD"/>
    <w:rsid w:val="00693FD5"/>
    <w:rsid w:val="006A5C74"/>
    <w:rsid w:val="006E047F"/>
    <w:rsid w:val="007043FA"/>
    <w:rsid w:val="00713AA5"/>
    <w:rsid w:val="00747DA4"/>
    <w:rsid w:val="00752126"/>
    <w:rsid w:val="007539E8"/>
    <w:rsid w:val="0075407A"/>
    <w:rsid w:val="0076518C"/>
    <w:rsid w:val="0082122B"/>
    <w:rsid w:val="00834DFB"/>
    <w:rsid w:val="0086778F"/>
    <w:rsid w:val="009C181F"/>
    <w:rsid w:val="00A51216"/>
    <w:rsid w:val="00A7046A"/>
    <w:rsid w:val="00A81F6A"/>
    <w:rsid w:val="00B33A87"/>
    <w:rsid w:val="00B7757B"/>
    <w:rsid w:val="00B83C69"/>
    <w:rsid w:val="00BE3CAB"/>
    <w:rsid w:val="00C16394"/>
    <w:rsid w:val="00C24735"/>
    <w:rsid w:val="00C77573"/>
    <w:rsid w:val="00C84ABC"/>
    <w:rsid w:val="00C86549"/>
    <w:rsid w:val="00C953F5"/>
    <w:rsid w:val="00CB6BE0"/>
    <w:rsid w:val="00CD0688"/>
    <w:rsid w:val="00D470C3"/>
    <w:rsid w:val="00D97D21"/>
    <w:rsid w:val="00DC4395"/>
    <w:rsid w:val="00DD1E61"/>
    <w:rsid w:val="00DE646E"/>
    <w:rsid w:val="00E10A34"/>
    <w:rsid w:val="00E45C14"/>
    <w:rsid w:val="00E5345C"/>
    <w:rsid w:val="00EF2292"/>
    <w:rsid w:val="00F929D8"/>
    <w:rsid w:val="00F9749A"/>
    <w:rsid w:val="00F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CDC1AF"/>
  <w15:docId w15:val="{09FE1ACF-FFD6-4EFF-BA02-86A47D8F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Venjulegur">
    <w:name w:val="Normal"/>
    <w:qFormat/>
    <w:rsid w:val="00123802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6A5C74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B7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B7757B"/>
  </w:style>
  <w:style w:type="paragraph" w:styleId="Suftur">
    <w:name w:val="footer"/>
    <w:basedOn w:val="Venjulegur"/>
    <w:link w:val="SufturStaf"/>
    <w:uiPriority w:val="99"/>
    <w:unhideWhenUsed/>
    <w:rsid w:val="00B7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B7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2137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Ása María H. Guðmundsdóttir</dc:creator>
  <cp:lastModifiedBy>Sunna þórðardóttir</cp:lastModifiedBy>
  <cp:revision>2</cp:revision>
  <dcterms:created xsi:type="dcterms:W3CDTF">2018-11-13T14:16:00Z</dcterms:created>
  <dcterms:modified xsi:type="dcterms:W3CDTF">2018-11-13T14:16:00Z</dcterms:modified>
</cp:coreProperties>
</file>