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CD" w:rsidRPr="00960330" w:rsidRDefault="006616AC" w:rsidP="007565CD">
      <w:pPr>
        <w:spacing w:after="0" w:line="240" w:lineRule="auto"/>
      </w:pPr>
      <w:r>
        <w:t>Fylgiskjal</w:t>
      </w:r>
      <w:r w:rsidR="007565CD">
        <w:t xml:space="preserve"> reglugerðar um </w:t>
      </w:r>
      <w:r w:rsidR="007565CD" w:rsidRPr="00960330">
        <w:t>bókhald, fjárhagsáætlanir og ársreikninga sveitarfélaga.</w:t>
      </w:r>
    </w:p>
    <w:p w:rsidR="007565CD" w:rsidRDefault="007565CD" w:rsidP="007565CD"/>
    <w:p w:rsidR="007565CD" w:rsidRPr="00665A7D" w:rsidRDefault="006616AC" w:rsidP="006616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</w:rPr>
      </w:pPr>
      <w:r w:rsidRPr="00665A7D">
        <w:rPr>
          <w:rFonts w:ascii="TimesNewRoman,Bold" w:hAnsi="TimesNewRoman,Bold" w:cs="TimesNewRoman,Bold"/>
          <w:b/>
          <w:bCs/>
          <w:sz w:val="36"/>
        </w:rPr>
        <w:t>Fylgiskjal</w:t>
      </w:r>
      <w:r w:rsidR="007565CD" w:rsidRPr="00665A7D">
        <w:rPr>
          <w:rFonts w:ascii="TimesNewRoman,Bold" w:hAnsi="TimesNewRoman,Bold" w:cs="TimesNewRoman,Bold"/>
          <w:b/>
          <w:bCs/>
          <w:sz w:val="36"/>
        </w:rPr>
        <w:t xml:space="preserve"> IV</w:t>
      </w:r>
    </w:p>
    <w:p w:rsidR="007565CD" w:rsidRPr="00685540" w:rsidRDefault="00575A21" w:rsidP="007565CD">
      <w:pPr>
        <w:spacing w:after="0" w:line="240" w:lineRule="auto"/>
        <w:jc w:val="center"/>
        <w:rPr>
          <w:rFonts w:eastAsia="Times New Roman"/>
          <w:color w:val="000000"/>
          <w:lang w:eastAsia="is-IS"/>
        </w:rPr>
      </w:pPr>
      <w:r>
        <w:rPr>
          <w:rFonts w:ascii="TimesNewRoman,Bold" w:hAnsi="TimesNewRoman,Bold" w:cs="TimesNewRoman,Bold"/>
          <w:b/>
          <w:bCs/>
        </w:rPr>
        <w:t>viðauki</w:t>
      </w:r>
      <w:r w:rsidR="007565CD">
        <w:rPr>
          <w:rFonts w:ascii="TimesNewRoman,Bold" w:hAnsi="TimesNewRoman,Bold" w:cs="TimesNewRoman,Bold"/>
          <w:b/>
          <w:bCs/>
        </w:rPr>
        <w:t xml:space="preserve"> við fjárhagsáætlun.</w:t>
      </w:r>
    </w:p>
    <w:p w:rsidR="007565CD" w:rsidRDefault="007565CD" w:rsidP="007565CD">
      <w:pPr>
        <w:spacing w:after="0" w:line="240" w:lineRule="auto"/>
        <w:jc w:val="center"/>
        <w:rPr>
          <w:rFonts w:eastAsia="Times New Roman"/>
          <w:b/>
          <w:bCs/>
          <w:lang w:eastAsia="is-IS"/>
        </w:rPr>
      </w:pPr>
    </w:p>
    <w:p w:rsidR="00DB4C33" w:rsidRPr="00DB4C33" w:rsidRDefault="00DB4C33" w:rsidP="00DB4C33">
      <w:pPr>
        <w:spacing w:after="0" w:line="240" w:lineRule="auto"/>
        <w:rPr>
          <w:rFonts w:eastAsia="Times New Roman"/>
          <w:b/>
          <w:bCs/>
          <w:lang w:eastAsia="is-IS"/>
        </w:rPr>
      </w:pPr>
    </w:p>
    <w:p w:rsidR="00DB4C33" w:rsidRDefault="00DB4C33" w:rsidP="007565CD">
      <w:pPr>
        <w:spacing w:after="0" w:line="240" w:lineRule="auto"/>
        <w:jc w:val="center"/>
        <w:rPr>
          <w:rFonts w:eastAsia="Times New Roman"/>
          <w:bCs/>
          <w:lang w:eastAsia="is-IS"/>
        </w:rPr>
      </w:pPr>
      <w:r w:rsidRPr="00DB4C33">
        <w:rPr>
          <w:rFonts w:eastAsia="Times New Roman"/>
          <w:bCs/>
          <w:lang w:eastAsia="is-IS"/>
        </w:rPr>
        <w:t>1.gr.</w:t>
      </w:r>
    </w:p>
    <w:p w:rsidR="00DB4C33" w:rsidRDefault="00DB4C33" w:rsidP="007565CD">
      <w:pPr>
        <w:spacing w:after="0" w:line="240" w:lineRule="auto"/>
        <w:jc w:val="center"/>
        <w:rPr>
          <w:rFonts w:eastAsia="Times New Roman"/>
          <w:bCs/>
          <w:lang w:eastAsia="is-IS"/>
        </w:rPr>
      </w:pPr>
      <w:r>
        <w:rPr>
          <w:rFonts w:eastAsia="Times New Roman"/>
          <w:bCs/>
          <w:lang w:eastAsia="is-IS"/>
        </w:rPr>
        <w:t>Hlutverk viðauka við fjárhagsáætlun</w:t>
      </w:r>
    </w:p>
    <w:p w:rsidR="00DB4C33" w:rsidRPr="00B339FE" w:rsidRDefault="00DB4C33" w:rsidP="00DB4C33">
      <w:pPr>
        <w:spacing w:after="0" w:line="240" w:lineRule="auto"/>
        <w:ind w:firstLine="708"/>
        <w:jc w:val="both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Viðauka</w:t>
      </w:r>
      <w:r w:rsidRPr="00B339FE">
        <w:rPr>
          <w:rFonts w:eastAsia="Times New Roman"/>
          <w:lang w:eastAsia="is-IS"/>
        </w:rPr>
        <w:t xml:space="preserve"> við fjárhagsáætlun </w:t>
      </w:r>
      <w:r>
        <w:rPr>
          <w:rFonts w:eastAsia="Times New Roman"/>
          <w:lang w:eastAsia="is-IS"/>
        </w:rPr>
        <w:t xml:space="preserve">er </w:t>
      </w:r>
      <w:r w:rsidRPr="00B339FE">
        <w:rPr>
          <w:rFonts w:eastAsia="Times New Roman"/>
          <w:lang w:eastAsia="is-IS"/>
        </w:rPr>
        <w:t>ætlað að styrkja eftirlit og stjórnun vegna fjármála sveitarfélaga og ekki síst að gera skýrar formkröfur um þau frávik frá fjárhagsáætlun sem sveitarstjórn kann að þurfa að ákveða á hverjum tíma. Hlutverk viðauka er hins vegar ekki að gera grein fyrir frávikum á fjárhagsáætlun vegna ákvarðana sem búið er að framkvæma og hafa til að mynda í för með sér út</w:t>
      </w:r>
      <w:r>
        <w:rPr>
          <w:rFonts w:eastAsia="Times New Roman"/>
          <w:lang w:eastAsia="is-IS"/>
        </w:rPr>
        <w:t>gjaldaauka í rekstri. Viðauka</w:t>
      </w:r>
      <w:r w:rsidRPr="00B339FE">
        <w:rPr>
          <w:rFonts w:eastAsia="Times New Roman"/>
          <w:lang w:eastAsia="is-IS"/>
        </w:rPr>
        <w:t xml:space="preserve"> er þannig ekki ætlað að þjóna hlutverki endurskoðunar á fjárhagsáætlunum, heldur til að afla fyrirfram fjárheimildar vegna nauðsynlegra frávika í rekstri sem ekki var áætlað fyrir. </w:t>
      </w:r>
      <w:r w:rsidR="001A2DDB">
        <w:rPr>
          <w:rFonts w:eastAsia="Times New Roman"/>
          <w:lang w:eastAsia="is-IS"/>
        </w:rPr>
        <w:t xml:space="preserve">Þannig er viðauka til að mynda ætlað að þjóna því hlutverki að afla fyrirfram heimildar vegna </w:t>
      </w:r>
      <w:r w:rsidR="00A7427C">
        <w:rPr>
          <w:rFonts w:eastAsia="Times New Roman"/>
          <w:lang w:eastAsia="is-IS"/>
        </w:rPr>
        <w:t>rekstrarútgjalda</w:t>
      </w:r>
      <w:r w:rsidR="001A2DDB">
        <w:rPr>
          <w:rFonts w:eastAsia="Times New Roman"/>
          <w:lang w:eastAsia="is-IS"/>
        </w:rPr>
        <w:t xml:space="preserve"> umfram fjárhagsáætlun en ekki vegna breyttra forsendna vegna reiknaðra liða. Viðaukum er þannig ætlað að </w:t>
      </w:r>
      <w:r w:rsidR="00A7427C">
        <w:rPr>
          <w:rFonts w:eastAsia="Times New Roman"/>
          <w:lang w:eastAsia="is-IS"/>
        </w:rPr>
        <w:t xml:space="preserve">afla fyrirfram heimildar vegna </w:t>
      </w:r>
      <w:r w:rsidR="001A2DDB">
        <w:rPr>
          <w:rFonts w:eastAsia="Times New Roman"/>
          <w:lang w:eastAsia="is-IS"/>
        </w:rPr>
        <w:t>áhrifa á sjóðst</w:t>
      </w:r>
      <w:r w:rsidR="00A7427C">
        <w:rPr>
          <w:rFonts w:eastAsia="Times New Roman"/>
          <w:lang w:eastAsia="is-IS"/>
        </w:rPr>
        <w:t>reymi sveitarfélags</w:t>
      </w:r>
      <w:r w:rsidR="001A2DDB">
        <w:rPr>
          <w:rFonts w:eastAsia="Times New Roman"/>
          <w:lang w:eastAsia="is-IS"/>
        </w:rPr>
        <w:t xml:space="preserve"> vegna breytinga frá áður samþykktri fjárhagsáætlun.</w:t>
      </w:r>
    </w:p>
    <w:p w:rsidR="00DB4C33" w:rsidRDefault="00DB4C33" w:rsidP="007565CD">
      <w:pPr>
        <w:spacing w:after="0" w:line="240" w:lineRule="auto"/>
        <w:jc w:val="center"/>
        <w:rPr>
          <w:rFonts w:eastAsia="Times New Roman"/>
          <w:bCs/>
          <w:lang w:eastAsia="is-IS"/>
        </w:rPr>
      </w:pPr>
    </w:p>
    <w:p w:rsidR="00DB4C33" w:rsidRPr="00DB4C33" w:rsidRDefault="00DB4C33" w:rsidP="007565CD">
      <w:pPr>
        <w:spacing w:after="0" w:line="240" w:lineRule="auto"/>
        <w:jc w:val="center"/>
        <w:rPr>
          <w:rFonts w:eastAsia="Times New Roman"/>
          <w:bCs/>
          <w:lang w:eastAsia="is-IS"/>
        </w:rPr>
      </w:pPr>
    </w:p>
    <w:p w:rsidR="007565CD" w:rsidRPr="003A4672" w:rsidRDefault="00DB4C33" w:rsidP="007565CD">
      <w:pPr>
        <w:spacing w:after="0" w:line="240" w:lineRule="auto"/>
        <w:jc w:val="center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2</w:t>
      </w:r>
      <w:r w:rsidR="007565CD" w:rsidRPr="003A4672">
        <w:rPr>
          <w:rFonts w:eastAsia="Times New Roman"/>
          <w:lang w:eastAsia="is-IS"/>
        </w:rPr>
        <w:t>. gr.</w:t>
      </w:r>
    </w:p>
    <w:p w:rsidR="007565CD" w:rsidRDefault="003F7314" w:rsidP="007565CD">
      <w:pPr>
        <w:spacing w:after="0" w:line="240" w:lineRule="auto"/>
        <w:jc w:val="center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 xml:space="preserve"> Skilyrði fyrir </w:t>
      </w:r>
      <w:r w:rsidR="007565CD">
        <w:rPr>
          <w:rFonts w:eastAsia="Times New Roman"/>
          <w:lang w:eastAsia="is-IS"/>
        </w:rPr>
        <w:t>viðauka við fjárhagsáætlun.</w:t>
      </w:r>
    </w:p>
    <w:p w:rsidR="007565CD" w:rsidRDefault="007565CD" w:rsidP="007565CD">
      <w:pPr>
        <w:spacing w:after="0" w:line="240" w:lineRule="auto"/>
        <w:rPr>
          <w:rFonts w:eastAsia="Times New Roman"/>
          <w:lang w:eastAsia="is-IS"/>
        </w:rPr>
      </w:pPr>
    </w:p>
    <w:p w:rsidR="009442D7" w:rsidRDefault="009442D7" w:rsidP="009442D7">
      <w:pPr>
        <w:spacing w:after="0" w:line="240" w:lineRule="auto"/>
        <w:jc w:val="both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ab/>
        <w:t xml:space="preserve">Í 63. gr. sveitarstjórnarlaga er fjallað um gerð viðauka við fjárhagsáætlun.  </w:t>
      </w:r>
      <w:r w:rsidRPr="009442D7">
        <w:rPr>
          <w:rFonts w:eastAsia="Times New Roman"/>
          <w:lang w:eastAsia="is-IS"/>
        </w:rPr>
        <w:t>Óheimilt er að víkja frá fjárhagsáætlun nema sveitarstjórn hafi áður samþykkt viðauka við áætlunina. Á þetta við um hvers kyns ákvarðanir, samninga eða aðrar fjárhagslegar ráðstafanir sem hafa í för með sér breytingar á tekjum, útgjöldum, skuldbindingum eða tilfærslur milli liða í fjárhagsáætlun í þegar samþykktri áætlun. Viðauki er ekki gildur nema hann feli einnig í sér útfærða ákvörðun um það hvernig þeim útgjöldum eða tekjulækkun sem gert er ráð fyrir verði mætt. Á það einnig við þótt heildarútgjöld eða heildartekjur breytist ekki vegna samþykktar hans.</w:t>
      </w:r>
    </w:p>
    <w:p w:rsidR="005E2677" w:rsidRDefault="00273586" w:rsidP="005E2677">
      <w:pPr>
        <w:pStyle w:val="NoSpacing"/>
        <w:ind w:firstLine="708"/>
      </w:pPr>
      <w:r>
        <w:t>Í 63. gr. laganna er talað um „liði“ í fjárhagsáætlun. Hugtakið „liður“ í fjárhagsáætlunum sveitarfélaga hefur almennt ekki verið notað. Hugtakið „málaflokkur“ er notað um einstaka safnliði s.s. „félagsþjónusta“ og „fræðslu- og uppeldismál“. Málaflokkar skiptast síðan í deildir. Sem dæmi má nefna að málaflokknum „fræðslu- og uppeldismál“ er skipt í deildirnar „grunnskóli“, „</w:t>
      </w:r>
      <w:r w:rsidR="005E2677">
        <w:t>leikskóli“ og „tónlistarskóli“. Til frekari skilgreiningar vegna viðauka við fjárhagsáætlun er litið ti</w:t>
      </w:r>
      <w:r w:rsidR="00140FB6">
        <w:t>l þess að hugtakið „liður“ hafi</w:t>
      </w:r>
      <w:r w:rsidR="005E2677">
        <w:t xml:space="preserve"> sömu merkingu og hugtakið „málaflokkur“</w:t>
      </w:r>
      <w:r>
        <w:t xml:space="preserve">. </w:t>
      </w:r>
      <w:r w:rsidR="005E2677">
        <w:t xml:space="preserve">  Vegna nánari umfjöllunar verður notast við hugtakið „málaflokkur“.</w:t>
      </w:r>
    </w:p>
    <w:p w:rsidR="009507C8" w:rsidRDefault="009507C8" w:rsidP="003F7314">
      <w:pPr>
        <w:spacing w:after="0" w:line="240" w:lineRule="auto"/>
        <w:ind w:firstLine="708"/>
      </w:pPr>
      <w:r>
        <w:t xml:space="preserve">Ákvörðun </w:t>
      </w:r>
      <w:r w:rsidR="00273586">
        <w:t>um að færa af einum málaflokk</w:t>
      </w:r>
      <w:r w:rsidR="00285D53">
        <w:t>i</w:t>
      </w:r>
      <w:r w:rsidR="00273586">
        <w:t xml:space="preserve"> yfir á annan, </w:t>
      </w:r>
      <w:r>
        <w:t xml:space="preserve">telst </w:t>
      </w:r>
      <w:r w:rsidR="00273586">
        <w:t>vera tilfærsla á milli málaflokka</w:t>
      </w:r>
      <w:r w:rsidR="00285D53">
        <w:t xml:space="preserve"> („liða“)</w:t>
      </w:r>
      <w:r w:rsidR="00140FB6">
        <w:t xml:space="preserve"> sem kallar á gerð viðauka</w:t>
      </w:r>
      <w:r w:rsidR="00273586">
        <w:t xml:space="preserve">. </w:t>
      </w:r>
      <w:r w:rsidR="005E2677">
        <w:t xml:space="preserve">Slík ráðstöfun er </w:t>
      </w:r>
      <w:r w:rsidR="00140FB6">
        <w:t>stefnumarkandi</w:t>
      </w:r>
      <w:r>
        <w:t xml:space="preserve"> ákvörðun</w:t>
      </w:r>
      <w:r w:rsidR="00140FB6">
        <w:t xml:space="preserve"> og þarfnast formlegrar samþykktar í sveitarstjórn.  Sama gildir e</w:t>
      </w:r>
      <w:r w:rsidR="00273586">
        <w:t>f</w:t>
      </w:r>
      <w:r w:rsidR="00140FB6">
        <w:t xml:space="preserve"> sveitarstjórn ákveður að breyta fjárheimildum </w:t>
      </w:r>
      <w:r w:rsidR="003810F5">
        <w:t>málaflokks</w:t>
      </w:r>
      <w:r>
        <w:t xml:space="preserve"> (til hækkunar eða lækkunar)</w:t>
      </w:r>
      <w:r w:rsidR="003810F5">
        <w:t xml:space="preserve"> frá áður samþykktri fjárhagsáætlun. </w:t>
      </w:r>
      <w:r w:rsidR="00140FB6">
        <w:t>Við slík tilfelli er nauðsynlegt að s</w:t>
      </w:r>
      <w:r w:rsidR="003810F5">
        <w:t xml:space="preserve">ýna fram á hvernig </w:t>
      </w:r>
      <w:r w:rsidR="003C587F">
        <w:t xml:space="preserve">breyttum </w:t>
      </w:r>
      <w:r w:rsidR="005E2677">
        <w:t>rekstrarútgjöldum</w:t>
      </w:r>
      <w:r w:rsidR="003810F5">
        <w:t xml:space="preserve"> eða tekju</w:t>
      </w:r>
      <w:r w:rsidR="003C587F">
        <w:t>m</w:t>
      </w:r>
      <w:r w:rsidR="003810F5">
        <w:t xml:space="preserve"> er mætt og samþykkja formlega með gerð </w:t>
      </w:r>
      <w:r w:rsidR="00273586">
        <w:t>viðauka</w:t>
      </w:r>
      <w:r w:rsidR="003810F5">
        <w:t xml:space="preserve"> við fjárhagsáætlun</w:t>
      </w:r>
      <w:r w:rsidR="00273586">
        <w:t xml:space="preserve">. </w:t>
      </w:r>
    </w:p>
    <w:p w:rsidR="00A7427C" w:rsidRDefault="00A7427C" w:rsidP="00A7427C">
      <w:pPr>
        <w:pStyle w:val="NoSpacing"/>
        <w:ind w:firstLine="708"/>
      </w:pPr>
      <w:r>
        <w:t xml:space="preserve">Vegna tilfærslu innan málaflokka þar sem ekki er um að ræða breytingu á fjárheimild málaflokks, gilda almennar starfsreglur viðkomandi sveitarstjórnar um skilyrði slíkra breytinga og vegna fjármálastjórnar sveitarfélags.  Í samræmi við 75. gr. sveitarstjórnarlaga </w:t>
      </w:r>
      <w:r>
        <w:lastRenderedPageBreak/>
        <w:t>þarf ekki að liggja fyrir samþykktur viðauki vegna slíkra breytinga enda farið eftir almennum starfsreglum sveitarfélagsins. Þrátt fyrir ákvæðið skal færa slíka breytingu í viðauka sveitarfélagsins við fyrsta tækifæri. Vegna skila á upplýsingum vegna tilfærslu innan málaflokka, er ekki nauðsynlegt að upplýsa um slíkar breytingar til ráðuneytisins.</w:t>
      </w:r>
    </w:p>
    <w:p w:rsidR="003F7314" w:rsidRPr="00B339FE" w:rsidRDefault="003F7314" w:rsidP="00C61193">
      <w:pPr>
        <w:pStyle w:val="NoSpacing"/>
        <w:ind w:firstLine="708"/>
        <w:rPr>
          <w:rFonts w:eastAsia="Times New Roman"/>
          <w:lang w:eastAsia="is-IS"/>
        </w:rPr>
      </w:pPr>
      <w:r>
        <w:t>Lögð er áhersla á að gerð viðauka við fjárhagsáætlun er formleg samþykkt sveitarstjórnar til</w:t>
      </w:r>
      <w:r w:rsidRPr="00B339FE">
        <w:rPr>
          <w:rFonts w:eastAsia="Times New Roman"/>
          <w:lang w:eastAsia="is-IS"/>
        </w:rPr>
        <w:t xml:space="preserve"> að afla fyrirfram fjárheimildar vegna nauðsynlegra frávika í rek</w:t>
      </w:r>
      <w:r>
        <w:rPr>
          <w:rFonts w:eastAsia="Times New Roman"/>
          <w:lang w:eastAsia="is-IS"/>
        </w:rPr>
        <w:t>stri sem ekki var áætlað fyrir.</w:t>
      </w:r>
      <w:r w:rsidRPr="00285D53">
        <w:rPr>
          <w:rFonts w:eastAsia="Times New Roman"/>
          <w:lang w:eastAsia="is-IS"/>
        </w:rPr>
        <w:t xml:space="preserve"> </w:t>
      </w:r>
      <w:r>
        <w:rPr>
          <w:rFonts w:eastAsia="Times New Roman"/>
          <w:lang w:eastAsia="is-IS"/>
        </w:rPr>
        <w:t xml:space="preserve">Viðauka er </w:t>
      </w:r>
      <w:r w:rsidRPr="00B339FE">
        <w:rPr>
          <w:rFonts w:eastAsia="Times New Roman"/>
          <w:lang w:eastAsia="is-IS"/>
        </w:rPr>
        <w:t>ekki ætlað að þjóna hlutverki endurskoðunar á fjárhagsáætlunum</w:t>
      </w:r>
      <w:r>
        <w:rPr>
          <w:rFonts w:eastAsia="Times New Roman"/>
          <w:lang w:eastAsia="is-IS"/>
        </w:rPr>
        <w:t>.</w:t>
      </w:r>
    </w:p>
    <w:p w:rsidR="003F7314" w:rsidRDefault="003F7314" w:rsidP="00C61193">
      <w:pPr>
        <w:pStyle w:val="NoSpacing"/>
      </w:pPr>
    </w:p>
    <w:p w:rsidR="00C61193" w:rsidRDefault="00C61193" w:rsidP="00C61193">
      <w:pPr>
        <w:pStyle w:val="NoSpacing"/>
      </w:pPr>
    </w:p>
    <w:p w:rsidR="003F7314" w:rsidRPr="003A4672" w:rsidRDefault="003F7314" w:rsidP="003F7314">
      <w:pPr>
        <w:spacing w:after="0" w:line="240" w:lineRule="auto"/>
        <w:jc w:val="center"/>
        <w:rPr>
          <w:rFonts w:eastAsia="Times New Roman"/>
          <w:lang w:eastAsia="is-IS"/>
        </w:rPr>
      </w:pPr>
      <w:r w:rsidRPr="003F7314">
        <w:rPr>
          <w:rFonts w:eastAsia="Times New Roman"/>
          <w:lang w:eastAsia="is-IS"/>
        </w:rPr>
        <w:t xml:space="preserve"> </w:t>
      </w:r>
      <w:r>
        <w:rPr>
          <w:rFonts w:eastAsia="Times New Roman"/>
          <w:lang w:eastAsia="is-IS"/>
        </w:rPr>
        <w:t>3</w:t>
      </w:r>
      <w:r w:rsidRPr="003A4672">
        <w:rPr>
          <w:rFonts w:eastAsia="Times New Roman"/>
          <w:lang w:eastAsia="is-IS"/>
        </w:rPr>
        <w:t>. gr.</w:t>
      </w:r>
    </w:p>
    <w:p w:rsidR="003F7314" w:rsidRDefault="003F7314" w:rsidP="003F7314">
      <w:pPr>
        <w:spacing w:after="0" w:line="240" w:lineRule="auto"/>
        <w:jc w:val="center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Form viðauka við fjárhagsáætlun.</w:t>
      </w:r>
    </w:p>
    <w:p w:rsidR="003810F5" w:rsidRDefault="003810F5" w:rsidP="009507C8">
      <w:pPr>
        <w:spacing w:after="0" w:line="240" w:lineRule="auto"/>
        <w:ind w:firstLine="708"/>
      </w:pPr>
    </w:p>
    <w:p w:rsidR="00B339FE" w:rsidRPr="00B339FE" w:rsidRDefault="009442D7" w:rsidP="00B339FE">
      <w:pPr>
        <w:spacing w:after="0" w:line="240" w:lineRule="auto"/>
        <w:jc w:val="both"/>
        <w:rPr>
          <w:rFonts w:eastAsia="Times New Roman"/>
          <w:lang w:eastAsia="is-IS"/>
        </w:rPr>
      </w:pPr>
      <w:r>
        <w:rPr>
          <w:lang w:eastAsia="is-IS"/>
        </w:rPr>
        <w:tab/>
      </w:r>
      <w:r w:rsidRPr="008E5FAA">
        <w:rPr>
          <w:rFonts w:eastAsia="Times New Roman"/>
          <w:lang w:eastAsia="is-IS"/>
        </w:rPr>
        <w:t>Til að uppfylla ákvæði um útfærða ákvörðun sveitarstjórnar vegna viðauka við fjárhagsáætlun er meðfylgjandi leiðbeinandi form fyrir</w:t>
      </w:r>
      <w:r w:rsidR="006E369D" w:rsidRPr="008E5FAA">
        <w:rPr>
          <w:rFonts w:eastAsia="Times New Roman"/>
          <w:lang w:eastAsia="is-IS"/>
        </w:rPr>
        <w:t xml:space="preserve"> </w:t>
      </w:r>
      <w:r w:rsidRPr="008E5FAA">
        <w:rPr>
          <w:rFonts w:eastAsia="Times New Roman"/>
          <w:lang w:eastAsia="is-IS"/>
        </w:rPr>
        <w:t xml:space="preserve">viðauka við fjárhagsáætlun sem skylt er að leggja fyrir sveitarstjórn </w:t>
      </w:r>
      <w:r w:rsidR="00DB4C33">
        <w:rPr>
          <w:rFonts w:eastAsia="Times New Roman"/>
          <w:lang w:eastAsia="is-IS"/>
        </w:rPr>
        <w:t>vegna</w:t>
      </w:r>
      <w:r w:rsidRPr="008E5FAA">
        <w:rPr>
          <w:rFonts w:eastAsia="Times New Roman"/>
          <w:lang w:eastAsia="is-IS"/>
        </w:rPr>
        <w:t xml:space="preserve"> formlegrar umfjöllunar</w:t>
      </w:r>
      <w:r w:rsidR="00DB4C33">
        <w:rPr>
          <w:rFonts w:eastAsia="Times New Roman"/>
          <w:lang w:eastAsia="is-IS"/>
        </w:rPr>
        <w:t xml:space="preserve"> um viðaukann. </w:t>
      </w:r>
      <w:r w:rsidR="006E369D" w:rsidRPr="008E5FAA">
        <w:rPr>
          <w:rFonts w:eastAsia="Times New Roman"/>
          <w:lang w:eastAsia="is-IS"/>
        </w:rPr>
        <w:t xml:space="preserve">Til að viðauki teljist gildur þurfa þrír þættir að vera til staðar;  1) tölulegt yfirlit viðauka fyrir viðkomandi málaflokka (rekstur og/eða fjárfesting)   2) útfærsla á hvernig breytingum á fjárhagsáætlun skuli mætt  3) </w:t>
      </w:r>
      <w:r w:rsidR="006E369D" w:rsidRPr="00B339FE">
        <w:rPr>
          <w:rFonts w:eastAsia="Times New Roman"/>
          <w:lang w:eastAsia="is-IS"/>
        </w:rPr>
        <w:t>tölulegt h</w:t>
      </w:r>
      <w:r w:rsidR="00A805E0">
        <w:rPr>
          <w:rFonts w:eastAsia="Times New Roman"/>
          <w:lang w:eastAsia="is-IS"/>
        </w:rPr>
        <w:t>eildaryfirlit rekstrarreiknings og</w:t>
      </w:r>
      <w:r w:rsidR="006E369D" w:rsidRPr="00B339FE">
        <w:rPr>
          <w:rFonts w:eastAsia="Times New Roman"/>
          <w:lang w:eastAsia="is-IS"/>
        </w:rPr>
        <w:t xml:space="preserve"> sjóðstreymis um annars vegar upphaflega fjárhagsáætlun og hins vegar  yfirlit um samþykkta viðauka. Saman </w:t>
      </w:r>
      <w:r w:rsidR="00B339FE" w:rsidRPr="00B339FE">
        <w:rPr>
          <w:rFonts w:eastAsia="Times New Roman"/>
          <w:lang w:eastAsia="is-IS"/>
        </w:rPr>
        <w:t>m</w:t>
      </w:r>
      <w:r w:rsidR="006E369D" w:rsidRPr="00B339FE">
        <w:rPr>
          <w:rFonts w:eastAsia="Times New Roman"/>
          <w:lang w:eastAsia="is-IS"/>
        </w:rPr>
        <w:t>ynda þessir liði</w:t>
      </w:r>
      <w:r w:rsidR="00B339FE" w:rsidRPr="00B339FE">
        <w:rPr>
          <w:rFonts w:eastAsia="Times New Roman"/>
          <w:lang w:eastAsia="is-IS"/>
        </w:rPr>
        <w:t xml:space="preserve">r fjárhagsáætlun með viðaukum. </w:t>
      </w:r>
    </w:p>
    <w:p w:rsidR="006E369D" w:rsidRDefault="00E47D97" w:rsidP="00DB4C33">
      <w:pPr>
        <w:spacing w:after="0" w:line="240" w:lineRule="auto"/>
        <w:ind w:firstLine="708"/>
        <w:jc w:val="both"/>
        <w:rPr>
          <w:rFonts w:eastAsia="Times New Roman"/>
          <w:lang w:eastAsia="is-IS"/>
        </w:rPr>
      </w:pPr>
      <w:r w:rsidRPr="00B339FE">
        <w:rPr>
          <w:rFonts w:eastAsia="Times New Roman"/>
          <w:lang w:eastAsia="is-IS"/>
        </w:rPr>
        <w:t>Vegna umfjöllunar um viðauka við fjárhagsáætlun er mælst til þess að fyrir fundi sveita</w:t>
      </w:r>
      <w:r w:rsidR="00DB4C33">
        <w:rPr>
          <w:rFonts w:eastAsia="Times New Roman"/>
          <w:lang w:eastAsia="is-IS"/>
        </w:rPr>
        <w:t xml:space="preserve">rstjórnar liggi jafnframt </w:t>
      </w:r>
      <w:r w:rsidRPr="00B339FE">
        <w:rPr>
          <w:rFonts w:eastAsia="Times New Roman"/>
          <w:lang w:eastAsia="is-IS"/>
        </w:rPr>
        <w:t>almenn lýsing á nauðsyn viðaukans, ástæðum og öðrum ráðstöfunum sem tengjast</w:t>
      </w:r>
      <w:r w:rsidRPr="008E5FAA">
        <w:rPr>
          <w:rFonts w:eastAsia="Times New Roman"/>
          <w:lang w:eastAsia="is-IS"/>
        </w:rPr>
        <w:t xml:space="preserve"> </w:t>
      </w:r>
      <w:r w:rsidR="00DB4C33">
        <w:rPr>
          <w:rFonts w:eastAsia="Times New Roman"/>
          <w:lang w:eastAsia="is-IS"/>
        </w:rPr>
        <w:t xml:space="preserve">fyrirhugaðri </w:t>
      </w:r>
      <w:r w:rsidRPr="008E5FAA">
        <w:rPr>
          <w:rFonts w:eastAsia="Times New Roman"/>
          <w:lang w:eastAsia="is-IS"/>
        </w:rPr>
        <w:t>breytingu fjárhagsáætlunarinnar.</w:t>
      </w:r>
    </w:p>
    <w:p w:rsidR="00ED51D1" w:rsidRDefault="00ED51D1" w:rsidP="00DB4C33">
      <w:pPr>
        <w:spacing w:after="0" w:line="240" w:lineRule="auto"/>
        <w:ind w:firstLine="708"/>
        <w:jc w:val="both"/>
        <w:rPr>
          <w:rFonts w:eastAsia="Times New Roman"/>
          <w:lang w:eastAsia="is-IS"/>
        </w:rPr>
      </w:pPr>
    </w:p>
    <w:p w:rsidR="009507C8" w:rsidRDefault="009507C8" w:rsidP="009507C8">
      <w:pPr>
        <w:spacing w:after="0" w:line="240" w:lineRule="auto"/>
        <w:ind w:firstLine="708"/>
        <w:jc w:val="both"/>
      </w:pPr>
    </w:p>
    <w:p w:rsidR="00ED51D1" w:rsidRPr="003A4672" w:rsidRDefault="00ED51D1" w:rsidP="00ED51D1">
      <w:pPr>
        <w:spacing w:after="0" w:line="240" w:lineRule="auto"/>
        <w:jc w:val="center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4</w:t>
      </w:r>
      <w:r w:rsidRPr="003A4672">
        <w:rPr>
          <w:rFonts w:eastAsia="Times New Roman"/>
          <w:lang w:eastAsia="is-IS"/>
        </w:rPr>
        <w:t>. gr.</w:t>
      </w:r>
    </w:p>
    <w:p w:rsidR="00ED51D1" w:rsidRDefault="00ED51D1" w:rsidP="00ED51D1">
      <w:pPr>
        <w:spacing w:after="0" w:line="240" w:lineRule="auto"/>
        <w:jc w:val="center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Starfsreglur um tilfærslur innan málaflokka.</w:t>
      </w:r>
    </w:p>
    <w:p w:rsidR="00A7427C" w:rsidRDefault="00A7427C" w:rsidP="00A7427C">
      <w:pPr>
        <w:pStyle w:val="NoSpacing"/>
      </w:pPr>
    </w:p>
    <w:p w:rsidR="003C5DB0" w:rsidRDefault="00133FDC" w:rsidP="00F7497C">
      <w:pPr>
        <w:pStyle w:val="NoSpacing"/>
        <w:ind w:firstLine="708"/>
      </w:pPr>
      <w:r>
        <w:t>Í samræmi við ákvæði 2.</w:t>
      </w:r>
      <w:r w:rsidR="003C5DB0">
        <w:t xml:space="preserve"> </w:t>
      </w:r>
      <w:r>
        <w:t>gr. skulu sveitarstj</w:t>
      </w:r>
      <w:r w:rsidR="003C5DB0">
        <w:t>órnir setja formlegar starfsreglur vegna tilfærslu innan málaflokka þar sem ekki er gerð breyting á fjárheimild viðkomandi málaflokks. Tilgangur slíkra starfsreglna er að</w:t>
      </w:r>
      <w:r w:rsidR="00F7497C">
        <w:t xml:space="preserve"> sveitarstjórn set</w:t>
      </w:r>
      <w:r w:rsidR="00A22013">
        <w:t>ji</w:t>
      </w:r>
      <w:r w:rsidR="00F7497C">
        <w:t xml:space="preserve"> </w:t>
      </w:r>
      <w:r w:rsidR="003C5DB0">
        <w:t xml:space="preserve">nánari skilyrði fyrir breytingum </w:t>
      </w:r>
      <w:r w:rsidR="00F7497C">
        <w:t xml:space="preserve"> innan málaflokka</w:t>
      </w:r>
      <w:r w:rsidR="003C5DB0">
        <w:t xml:space="preserve"> svo fjármálastjórn sveitarfélags verði skilvirk og upplýsandi. Með starfsreglum eru áherslur sveitarstjórnar um sjálfstæði einstakra deilda</w:t>
      </w:r>
      <w:r w:rsidR="00F7497C">
        <w:t xml:space="preserve"> vegna fjármálanna,</w:t>
      </w:r>
      <w:r w:rsidR="003C5DB0">
        <w:t xml:space="preserve"> formfestar og ákveðnar heimildir veittar vegna einstakra ákvarðana.</w:t>
      </w:r>
      <w:r w:rsidR="00F7497C">
        <w:t xml:space="preserve"> Starfsreglur samkvæmt þessari grein geta einnig fjallað nánar um gerð viðauka og tekið til almennra  verklagsreglna sveitarstjórnar vegna gerð viðauka við fjárhagsáætlun.</w:t>
      </w:r>
    </w:p>
    <w:p w:rsidR="003C5DB0" w:rsidRDefault="003C5DB0" w:rsidP="003C5DB0">
      <w:pPr>
        <w:pStyle w:val="NoSpacing"/>
        <w:ind w:firstLine="708"/>
      </w:pPr>
    </w:p>
    <w:p w:rsidR="00133FDC" w:rsidRDefault="00133FDC"/>
    <w:p w:rsidR="00273586" w:rsidRDefault="00273586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B55182">
      <w:r w:rsidRPr="00B55182">
        <w:rPr>
          <w:noProof/>
          <w:lang w:eastAsia="is-IS"/>
        </w:rPr>
        <w:lastRenderedPageBreak/>
        <w:drawing>
          <wp:inline distT="0" distB="0" distL="0" distR="0" wp14:anchorId="5305CE71" wp14:editId="20CDA962">
            <wp:extent cx="5760720" cy="6621172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2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39" w:rsidRDefault="008A0E39"/>
    <w:p w:rsidR="008A0E39" w:rsidRDefault="008A0E39"/>
    <w:p w:rsidR="008A0E39" w:rsidRDefault="008A0E39"/>
    <w:p w:rsidR="008A0E39" w:rsidRDefault="008A0E39">
      <w:bookmarkStart w:id="0" w:name="_GoBack"/>
      <w:bookmarkEnd w:id="0"/>
    </w:p>
    <w:p w:rsidR="008A0E39" w:rsidRDefault="008A0E39"/>
    <w:p w:rsidR="008A0E39" w:rsidRDefault="008A0E39"/>
    <w:p w:rsidR="008A0E39" w:rsidRDefault="008A0E39"/>
    <w:p w:rsidR="008A0E39" w:rsidRDefault="00B55182">
      <w:r w:rsidRPr="00B55182">
        <w:rPr>
          <w:noProof/>
          <w:lang w:eastAsia="is-IS"/>
        </w:rPr>
        <w:drawing>
          <wp:inline distT="0" distB="0" distL="0" distR="0" wp14:anchorId="0CE7D066" wp14:editId="34328A95">
            <wp:extent cx="5760720" cy="4890631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BE3B21">
      <w:r w:rsidRPr="00BE3B21">
        <w:rPr>
          <w:noProof/>
          <w:lang w:eastAsia="is-IS"/>
        </w:rPr>
        <w:drawing>
          <wp:inline distT="0" distB="0" distL="0" distR="0" wp14:anchorId="11FB5272" wp14:editId="71968A7F">
            <wp:extent cx="5760720" cy="365100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B55182">
      <w:r w:rsidRPr="00B55182">
        <w:rPr>
          <w:noProof/>
          <w:lang w:eastAsia="is-IS"/>
        </w:rPr>
        <w:lastRenderedPageBreak/>
        <w:drawing>
          <wp:inline distT="0" distB="0" distL="0" distR="0" wp14:anchorId="374C14FC" wp14:editId="7CCDE222">
            <wp:extent cx="5760720" cy="5248840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p w:rsidR="008A0E39" w:rsidRDefault="008A0E39"/>
    <w:sectPr w:rsidR="008A0E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B0" w:rsidRDefault="003C5DB0" w:rsidP="002412B1">
      <w:pPr>
        <w:spacing w:after="0" w:line="240" w:lineRule="auto"/>
      </w:pPr>
      <w:r>
        <w:separator/>
      </w:r>
    </w:p>
  </w:endnote>
  <w:endnote w:type="continuationSeparator" w:id="0">
    <w:p w:rsidR="003C5DB0" w:rsidRDefault="003C5DB0" w:rsidP="0024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0332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C5DB0" w:rsidRDefault="003C5DB0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7688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7688F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C5DB0" w:rsidRDefault="003C5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B0" w:rsidRDefault="003C5DB0" w:rsidP="002412B1">
      <w:pPr>
        <w:spacing w:after="0" w:line="240" w:lineRule="auto"/>
      </w:pPr>
      <w:r>
        <w:separator/>
      </w:r>
    </w:p>
  </w:footnote>
  <w:footnote w:type="continuationSeparator" w:id="0">
    <w:p w:rsidR="003C5DB0" w:rsidRDefault="003C5DB0" w:rsidP="00241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DEE"/>
    <w:multiLevelType w:val="hybridMultilevel"/>
    <w:tmpl w:val="DAC412D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411F7"/>
    <w:multiLevelType w:val="hybridMultilevel"/>
    <w:tmpl w:val="7C4E319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CD"/>
    <w:rsid w:val="000009A3"/>
    <w:rsid w:val="00016C30"/>
    <w:rsid w:val="0002153C"/>
    <w:rsid w:val="000251A2"/>
    <w:rsid w:val="0002562A"/>
    <w:rsid w:val="00042695"/>
    <w:rsid w:val="000651C4"/>
    <w:rsid w:val="000657AD"/>
    <w:rsid w:val="0006652B"/>
    <w:rsid w:val="0007647C"/>
    <w:rsid w:val="00094687"/>
    <w:rsid w:val="00094A89"/>
    <w:rsid w:val="000B07F7"/>
    <w:rsid w:val="000F3517"/>
    <w:rsid w:val="00117C10"/>
    <w:rsid w:val="001318D0"/>
    <w:rsid w:val="00133FDC"/>
    <w:rsid w:val="00140A9B"/>
    <w:rsid w:val="00140FB6"/>
    <w:rsid w:val="00175725"/>
    <w:rsid w:val="00187255"/>
    <w:rsid w:val="001924D3"/>
    <w:rsid w:val="001A2A38"/>
    <w:rsid w:val="001A2DDB"/>
    <w:rsid w:val="001F5299"/>
    <w:rsid w:val="0023605C"/>
    <w:rsid w:val="0023726A"/>
    <w:rsid w:val="002412B1"/>
    <w:rsid w:val="00252207"/>
    <w:rsid w:val="00266318"/>
    <w:rsid w:val="00267757"/>
    <w:rsid w:val="00270E28"/>
    <w:rsid w:val="00273586"/>
    <w:rsid w:val="00285D53"/>
    <w:rsid w:val="002950AD"/>
    <w:rsid w:val="002A6A59"/>
    <w:rsid w:val="002E0177"/>
    <w:rsid w:val="002F0D28"/>
    <w:rsid w:val="002F20CD"/>
    <w:rsid w:val="002F3236"/>
    <w:rsid w:val="00301A21"/>
    <w:rsid w:val="00301F31"/>
    <w:rsid w:val="003027AE"/>
    <w:rsid w:val="00314309"/>
    <w:rsid w:val="00323D67"/>
    <w:rsid w:val="00324A7D"/>
    <w:rsid w:val="0033724E"/>
    <w:rsid w:val="003477E4"/>
    <w:rsid w:val="0035255A"/>
    <w:rsid w:val="00355DBD"/>
    <w:rsid w:val="00363D4B"/>
    <w:rsid w:val="003810F5"/>
    <w:rsid w:val="003816E2"/>
    <w:rsid w:val="003832B3"/>
    <w:rsid w:val="00395FC4"/>
    <w:rsid w:val="003B0EC1"/>
    <w:rsid w:val="003C587F"/>
    <w:rsid w:val="003C5DB0"/>
    <w:rsid w:val="003C7446"/>
    <w:rsid w:val="003D5911"/>
    <w:rsid w:val="003E5766"/>
    <w:rsid w:val="003F3657"/>
    <w:rsid w:val="003F5F35"/>
    <w:rsid w:val="003F7314"/>
    <w:rsid w:val="00403B4D"/>
    <w:rsid w:val="00405967"/>
    <w:rsid w:val="0041239F"/>
    <w:rsid w:val="00421E23"/>
    <w:rsid w:val="004257F0"/>
    <w:rsid w:val="0042656C"/>
    <w:rsid w:val="00432CDD"/>
    <w:rsid w:val="00444E12"/>
    <w:rsid w:val="00447A94"/>
    <w:rsid w:val="00462AB0"/>
    <w:rsid w:val="004667AC"/>
    <w:rsid w:val="004A64F7"/>
    <w:rsid w:val="004B045B"/>
    <w:rsid w:val="004B5647"/>
    <w:rsid w:val="004B5B49"/>
    <w:rsid w:val="004B6F91"/>
    <w:rsid w:val="004D40F5"/>
    <w:rsid w:val="004E298B"/>
    <w:rsid w:val="004F120D"/>
    <w:rsid w:val="00514FE3"/>
    <w:rsid w:val="00535E50"/>
    <w:rsid w:val="00550ED6"/>
    <w:rsid w:val="005650F9"/>
    <w:rsid w:val="00575A21"/>
    <w:rsid w:val="00594701"/>
    <w:rsid w:val="005B1262"/>
    <w:rsid w:val="005D20E7"/>
    <w:rsid w:val="005D39AB"/>
    <w:rsid w:val="005E2677"/>
    <w:rsid w:val="005E7DF1"/>
    <w:rsid w:val="0060215F"/>
    <w:rsid w:val="00611319"/>
    <w:rsid w:val="006312E3"/>
    <w:rsid w:val="0065681B"/>
    <w:rsid w:val="00660CA8"/>
    <w:rsid w:val="006616AC"/>
    <w:rsid w:val="00662EC1"/>
    <w:rsid w:val="00665A7D"/>
    <w:rsid w:val="00682587"/>
    <w:rsid w:val="006A10CB"/>
    <w:rsid w:val="006B0E52"/>
    <w:rsid w:val="006B43EF"/>
    <w:rsid w:val="006B4E89"/>
    <w:rsid w:val="006C0791"/>
    <w:rsid w:val="006C08BA"/>
    <w:rsid w:val="006C33AC"/>
    <w:rsid w:val="006D137C"/>
    <w:rsid w:val="006D543E"/>
    <w:rsid w:val="006E369D"/>
    <w:rsid w:val="006E6E6F"/>
    <w:rsid w:val="006F6471"/>
    <w:rsid w:val="0074117A"/>
    <w:rsid w:val="00753B13"/>
    <w:rsid w:val="007565CD"/>
    <w:rsid w:val="00760C8C"/>
    <w:rsid w:val="007679C7"/>
    <w:rsid w:val="00770865"/>
    <w:rsid w:val="007C66BD"/>
    <w:rsid w:val="007D2FBA"/>
    <w:rsid w:val="007D3EFC"/>
    <w:rsid w:val="007D62AD"/>
    <w:rsid w:val="007F7817"/>
    <w:rsid w:val="00806C39"/>
    <w:rsid w:val="00811A46"/>
    <w:rsid w:val="00830904"/>
    <w:rsid w:val="00862D0C"/>
    <w:rsid w:val="00866B13"/>
    <w:rsid w:val="0087039D"/>
    <w:rsid w:val="008746B1"/>
    <w:rsid w:val="008842D8"/>
    <w:rsid w:val="00891BBA"/>
    <w:rsid w:val="00893568"/>
    <w:rsid w:val="008A0E39"/>
    <w:rsid w:val="008A0E9D"/>
    <w:rsid w:val="008A6ABB"/>
    <w:rsid w:val="008B2ACA"/>
    <w:rsid w:val="008D4A12"/>
    <w:rsid w:val="008E5FAA"/>
    <w:rsid w:val="008F2EC9"/>
    <w:rsid w:val="00940171"/>
    <w:rsid w:val="0094282A"/>
    <w:rsid w:val="00943BE5"/>
    <w:rsid w:val="009442D7"/>
    <w:rsid w:val="009507C8"/>
    <w:rsid w:val="009721BA"/>
    <w:rsid w:val="00975670"/>
    <w:rsid w:val="00975BBA"/>
    <w:rsid w:val="00977ABC"/>
    <w:rsid w:val="009B042B"/>
    <w:rsid w:val="009B18C3"/>
    <w:rsid w:val="009C11F2"/>
    <w:rsid w:val="009C622F"/>
    <w:rsid w:val="009D2FE0"/>
    <w:rsid w:val="009F0A14"/>
    <w:rsid w:val="009F6C7C"/>
    <w:rsid w:val="00A07CB6"/>
    <w:rsid w:val="00A1135E"/>
    <w:rsid w:val="00A14CF9"/>
    <w:rsid w:val="00A15C76"/>
    <w:rsid w:val="00A22013"/>
    <w:rsid w:val="00A23B73"/>
    <w:rsid w:val="00A304BF"/>
    <w:rsid w:val="00A31F46"/>
    <w:rsid w:val="00A55A6E"/>
    <w:rsid w:val="00A57975"/>
    <w:rsid w:val="00A7427C"/>
    <w:rsid w:val="00A805E0"/>
    <w:rsid w:val="00A84116"/>
    <w:rsid w:val="00A93133"/>
    <w:rsid w:val="00AA131A"/>
    <w:rsid w:val="00AA7662"/>
    <w:rsid w:val="00AB5608"/>
    <w:rsid w:val="00AC044B"/>
    <w:rsid w:val="00AE15F1"/>
    <w:rsid w:val="00AE5CE9"/>
    <w:rsid w:val="00B339FE"/>
    <w:rsid w:val="00B374A0"/>
    <w:rsid w:val="00B43938"/>
    <w:rsid w:val="00B55182"/>
    <w:rsid w:val="00B552DE"/>
    <w:rsid w:val="00B5772F"/>
    <w:rsid w:val="00B732FA"/>
    <w:rsid w:val="00B7379D"/>
    <w:rsid w:val="00B800DE"/>
    <w:rsid w:val="00B922CC"/>
    <w:rsid w:val="00BA3975"/>
    <w:rsid w:val="00BC5016"/>
    <w:rsid w:val="00BE3848"/>
    <w:rsid w:val="00BE3B21"/>
    <w:rsid w:val="00BE4302"/>
    <w:rsid w:val="00BE5CD0"/>
    <w:rsid w:val="00BF3EE2"/>
    <w:rsid w:val="00C03E0B"/>
    <w:rsid w:val="00C06005"/>
    <w:rsid w:val="00C57ADE"/>
    <w:rsid w:val="00C61193"/>
    <w:rsid w:val="00C62D1C"/>
    <w:rsid w:val="00C72F61"/>
    <w:rsid w:val="00C76227"/>
    <w:rsid w:val="00C867A2"/>
    <w:rsid w:val="00C87328"/>
    <w:rsid w:val="00C94C7A"/>
    <w:rsid w:val="00CA432F"/>
    <w:rsid w:val="00CF2A3F"/>
    <w:rsid w:val="00D22173"/>
    <w:rsid w:val="00D35859"/>
    <w:rsid w:val="00D62EC9"/>
    <w:rsid w:val="00D7403F"/>
    <w:rsid w:val="00D7762D"/>
    <w:rsid w:val="00D921E2"/>
    <w:rsid w:val="00D92880"/>
    <w:rsid w:val="00D93AD6"/>
    <w:rsid w:val="00D946B0"/>
    <w:rsid w:val="00DA0613"/>
    <w:rsid w:val="00DA19FA"/>
    <w:rsid w:val="00DA39B3"/>
    <w:rsid w:val="00DB4C33"/>
    <w:rsid w:val="00DB4DBA"/>
    <w:rsid w:val="00DB7657"/>
    <w:rsid w:val="00DC45CB"/>
    <w:rsid w:val="00DC786E"/>
    <w:rsid w:val="00DD60DF"/>
    <w:rsid w:val="00DE1CE1"/>
    <w:rsid w:val="00E20F0F"/>
    <w:rsid w:val="00E47D97"/>
    <w:rsid w:val="00E803F7"/>
    <w:rsid w:val="00EC4453"/>
    <w:rsid w:val="00ED06A7"/>
    <w:rsid w:val="00ED51D1"/>
    <w:rsid w:val="00ED59BA"/>
    <w:rsid w:val="00ED603D"/>
    <w:rsid w:val="00ED7BE3"/>
    <w:rsid w:val="00EE43AF"/>
    <w:rsid w:val="00F00462"/>
    <w:rsid w:val="00F0223A"/>
    <w:rsid w:val="00F06E57"/>
    <w:rsid w:val="00F179AC"/>
    <w:rsid w:val="00F254F6"/>
    <w:rsid w:val="00F30E63"/>
    <w:rsid w:val="00F33A85"/>
    <w:rsid w:val="00F62804"/>
    <w:rsid w:val="00F7497C"/>
    <w:rsid w:val="00F76516"/>
    <w:rsid w:val="00F7688F"/>
    <w:rsid w:val="00F800D1"/>
    <w:rsid w:val="00FA793A"/>
    <w:rsid w:val="00FB5EB7"/>
    <w:rsid w:val="00FC6D0B"/>
    <w:rsid w:val="00FD250D"/>
    <w:rsid w:val="00FE3913"/>
    <w:rsid w:val="00FE5675"/>
    <w:rsid w:val="00FE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C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3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442D7"/>
    <w:rPr>
      <w:i/>
      <w:iCs/>
    </w:rPr>
  </w:style>
  <w:style w:type="paragraph" w:styleId="NoSpacing">
    <w:name w:val="No Spacing"/>
    <w:uiPriority w:val="1"/>
    <w:qFormat/>
    <w:rsid w:val="00B33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CD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E3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442D7"/>
    <w:rPr>
      <w:i/>
      <w:iCs/>
    </w:rPr>
  </w:style>
  <w:style w:type="paragraph" w:styleId="NoSpacing">
    <w:name w:val="No Spacing"/>
    <w:uiPriority w:val="1"/>
    <w:qFormat/>
    <w:rsid w:val="00B33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2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2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Eiríkur Benónýsson</dc:creator>
  <cp:lastModifiedBy>Jóhannes Tómasson</cp:lastModifiedBy>
  <cp:revision>2</cp:revision>
  <dcterms:created xsi:type="dcterms:W3CDTF">2014-12-23T09:24:00Z</dcterms:created>
  <dcterms:modified xsi:type="dcterms:W3CDTF">2014-12-23T09:24:00Z</dcterms:modified>
</cp:coreProperties>
</file>