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72" w:rsidRPr="00D93772" w:rsidRDefault="00D93772" w:rsidP="0006658B">
      <w:pPr>
        <w:pStyle w:val="Heading1"/>
        <w:ind w:firstLine="284"/>
      </w:pPr>
      <w:r w:rsidRPr="00D93772">
        <w:t>R</w:t>
      </w:r>
      <w:r>
        <w:t>eglugerð</w:t>
      </w:r>
    </w:p>
    <w:p w:rsidR="00D93772" w:rsidRPr="00D93772" w:rsidRDefault="00D93772" w:rsidP="0006658B">
      <w:pPr>
        <w:pStyle w:val="Heading2"/>
        <w:ind w:firstLine="284"/>
        <w:rPr>
          <w:szCs w:val="21"/>
        </w:rPr>
      </w:pPr>
      <w:r w:rsidRPr="00D93772">
        <w:rPr>
          <w:szCs w:val="21"/>
        </w:rPr>
        <w:t>um merkingu og aðrar öryggisráðstafanir vegna starfsemi og viðburða á og við veg.</w:t>
      </w:r>
    </w:p>
    <w:p w:rsidR="00D93772" w:rsidRPr="00D93772" w:rsidRDefault="00D93772" w:rsidP="0006658B">
      <w:pPr>
        <w:ind w:firstLine="284"/>
        <w:rPr>
          <w:sz w:val="21"/>
          <w:szCs w:val="21"/>
          <w:lang w:eastAsia="en-GB"/>
        </w:rPr>
      </w:pPr>
    </w:p>
    <w:p w:rsidR="00D93772" w:rsidRPr="00D93772" w:rsidRDefault="00D93772" w:rsidP="0006658B">
      <w:pPr>
        <w:pStyle w:val="Heading3"/>
        <w:ind w:firstLine="284"/>
        <w:rPr>
          <w:szCs w:val="21"/>
        </w:rPr>
      </w:pPr>
      <w:r w:rsidRPr="00D93772">
        <w:rPr>
          <w:szCs w:val="21"/>
        </w:rPr>
        <w:t>1. gr.</w:t>
      </w:r>
    </w:p>
    <w:p w:rsidR="00D93772" w:rsidRPr="00D93772" w:rsidRDefault="00D93772" w:rsidP="0006658B">
      <w:pPr>
        <w:pStyle w:val="Heading4"/>
        <w:ind w:firstLine="284"/>
        <w:rPr>
          <w:szCs w:val="21"/>
        </w:rPr>
      </w:pPr>
      <w:r w:rsidRPr="00D93772">
        <w:rPr>
          <w:szCs w:val="21"/>
        </w:rPr>
        <w:t>Markmið.</w:t>
      </w:r>
    </w:p>
    <w:p w:rsidR="00D93772" w:rsidRPr="00D93772" w:rsidRDefault="00D93772" w:rsidP="0006658B">
      <w:pPr>
        <w:ind w:firstLine="284"/>
        <w:rPr>
          <w:sz w:val="21"/>
          <w:szCs w:val="21"/>
        </w:rPr>
      </w:pPr>
      <w:r w:rsidRPr="00D93772">
        <w:rPr>
          <w:sz w:val="21"/>
          <w:szCs w:val="21"/>
        </w:rPr>
        <w:t xml:space="preserve">Markmið reglugerðarinnar er að tryggja öryggi starfsmanna og vegfarenda og koma í </w:t>
      </w:r>
      <w:r w:rsidR="0006658B">
        <w:rPr>
          <w:sz w:val="21"/>
          <w:szCs w:val="21"/>
        </w:rPr>
        <w:t>veg fyrir líkams- og heilsutjón</w:t>
      </w:r>
      <w:r w:rsidRPr="00D93772">
        <w:rPr>
          <w:sz w:val="21"/>
          <w:szCs w:val="21"/>
        </w:rPr>
        <w:t xml:space="preserve"> við hvers kyns starfsemi eða viðburði á og við veg </w:t>
      </w:r>
      <w:r w:rsidR="0006658B">
        <w:rPr>
          <w:sz w:val="21"/>
          <w:szCs w:val="21"/>
        </w:rPr>
        <w:t>aðra</w:t>
      </w:r>
      <w:r w:rsidRPr="00D93772">
        <w:rPr>
          <w:sz w:val="21"/>
          <w:szCs w:val="21"/>
        </w:rPr>
        <w:t xml:space="preserve"> en vegaframkvæmd</w:t>
      </w:r>
      <w:r w:rsidR="0006658B">
        <w:rPr>
          <w:sz w:val="21"/>
          <w:szCs w:val="21"/>
        </w:rPr>
        <w:t>ir</w:t>
      </w:r>
      <w:r w:rsidRPr="00D93772">
        <w:rPr>
          <w:sz w:val="21"/>
          <w:szCs w:val="21"/>
        </w:rPr>
        <w:t xml:space="preserve">. Ennfremur að stuðla að því að </w:t>
      </w:r>
      <w:r w:rsidRPr="00D93772">
        <w:rPr>
          <w:spacing w:val="-2"/>
          <w:sz w:val="21"/>
          <w:szCs w:val="21"/>
        </w:rPr>
        <w:t xml:space="preserve">hætta á eignatjóni og umhverfisspjöllum og truflun á umferð verði sem minnst við slíka starfsemi og viðburði. </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2. gr.</w:t>
      </w:r>
    </w:p>
    <w:p w:rsidR="00D93772" w:rsidRPr="00D93772" w:rsidRDefault="00D93772" w:rsidP="0006658B">
      <w:pPr>
        <w:pStyle w:val="Heading4"/>
        <w:ind w:firstLine="284"/>
        <w:rPr>
          <w:szCs w:val="21"/>
        </w:rPr>
      </w:pPr>
      <w:r w:rsidRPr="00D93772">
        <w:rPr>
          <w:szCs w:val="21"/>
        </w:rPr>
        <w:t>Gildissvið.</w:t>
      </w:r>
    </w:p>
    <w:p w:rsidR="00D93772" w:rsidRPr="00D93772" w:rsidRDefault="00D93772" w:rsidP="0006658B">
      <w:pPr>
        <w:ind w:firstLine="284"/>
        <w:rPr>
          <w:sz w:val="21"/>
          <w:szCs w:val="21"/>
        </w:rPr>
      </w:pPr>
      <w:r w:rsidRPr="00D93772">
        <w:rPr>
          <w:sz w:val="21"/>
          <w:szCs w:val="21"/>
        </w:rPr>
        <w:t>Reglugerð þessi gildir um afmarkað svæði á og við veg þar sem starfsemi og viðburðir geta valdið tíma</w:t>
      </w:r>
      <w:r w:rsidRPr="00D93772">
        <w:rPr>
          <w:sz w:val="21"/>
          <w:szCs w:val="21"/>
        </w:rPr>
        <w:softHyphen/>
        <w:t xml:space="preserve">bundinni röskun og hættu á því svæði sem um ræðir. Reglugerðin tekur til þess svæðis sem afmarkað er í heimild frá </w:t>
      </w:r>
      <w:r w:rsidR="0006658B">
        <w:rPr>
          <w:sz w:val="21"/>
          <w:szCs w:val="21"/>
        </w:rPr>
        <w:t>viðkomandi veghaldara</w:t>
      </w:r>
      <w:r w:rsidRPr="00D93772">
        <w:rPr>
          <w:sz w:val="21"/>
          <w:szCs w:val="21"/>
        </w:rPr>
        <w:t xml:space="preserve"> </w:t>
      </w:r>
      <w:r w:rsidR="0006658B">
        <w:rPr>
          <w:sz w:val="21"/>
          <w:szCs w:val="21"/>
        </w:rPr>
        <w:t>sem heimilar takmörkun umferðar, sbr. 3. gr.</w:t>
      </w:r>
    </w:p>
    <w:p w:rsidR="00D93772" w:rsidRPr="00D93772" w:rsidRDefault="00D93772" w:rsidP="0006658B">
      <w:pPr>
        <w:ind w:firstLine="284"/>
        <w:rPr>
          <w:sz w:val="21"/>
          <w:szCs w:val="21"/>
        </w:rPr>
      </w:pPr>
      <w:r w:rsidRPr="00D93772">
        <w:rPr>
          <w:sz w:val="21"/>
          <w:szCs w:val="21"/>
        </w:rPr>
        <w:t>Um öryggi á svæðum skv. 1. mgr. gilda, auk ákvæða umferðarlaga og vegalaga, ákvæði lögreglu</w:t>
      </w:r>
      <w:r w:rsidRPr="00D93772">
        <w:rPr>
          <w:sz w:val="21"/>
          <w:szCs w:val="21"/>
        </w:rPr>
        <w:softHyphen/>
        <w:t>samþykkta eða reglugerðar um lögreglusamþykktir og ákvæði laga um aðbúnað, hollustuhætti og öryggi á vinnustöðum ásamt reglum settum á grundvelli þeirra.</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3. gr.</w:t>
      </w:r>
    </w:p>
    <w:p w:rsidR="00D93772" w:rsidRPr="00D93772" w:rsidRDefault="00D93772" w:rsidP="0006658B">
      <w:pPr>
        <w:pStyle w:val="Heading4"/>
        <w:ind w:firstLine="284"/>
        <w:rPr>
          <w:szCs w:val="21"/>
        </w:rPr>
      </w:pPr>
      <w:r w:rsidRPr="00D93772">
        <w:rPr>
          <w:szCs w:val="21"/>
        </w:rPr>
        <w:t>Málsmeðferð.</w:t>
      </w:r>
    </w:p>
    <w:p w:rsidR="00D93772" w:rsidRPr="00D93772" w:rsidRDefault="00D93772" w:rsidP="0006658B">
      <w:pPr>
        <w:ind w:firstLine="284"/>
        <w:rPr>
          <w:sz w:val="21"/>
          <w:szCs w:val="21"/>
        </w:rPr>
      </w:pPr>
      <w:r w:rsidRPr="00D93772">
        <w:rPr>
          <w:sz w:val="21"/>
          <w:szCs w:val="21"/>
        </w:rPr>
        <w:t>Beiðni u</w:t>
      </w:r>
      <w:r w:rsidR="00CA3079">
        <w:rPr>
          <w:sz w:val="21"/>
          <w:szCs w:val="21"/>
        </w:rPr>
        <w:t>m lokun vegar og/eða takmörkun</w:t>
      </w:r>
      <w:r w:rsidRPr="00D93772">
        <w:rPr>
          <w:sz w:val="21"/>
          <w:szCs w:val="21"/>
        </w:rPr>
        <w:t xml:space="preserve"> umferðar  skal beina til viðeigandi veghaldara. Beiðni skal fylgja ítarleg lýsing á </w:t>
      </w:r>
      <w:r w:rsidR="0006658B">
        <w:rPr>
          <w:sz w:val="21"/>
          <w:szCs w:val="21"/>
        </w:rPr>
        <w:t>forsendum</w:t>
      </w:r>
      <w:r w:rsidRPr="00D93772">
        <w:rPr>
          <w:sz w:val="21"/>
          <w:szCs w:val="21"/>
        </w:rPr>
        <w:t xml:space="preserve"> beiðninnar og umfangi lokunar og takmörkunar umferðar. </w:t>
      </w:r>
    </w:p>
    <w:p w:rsidR="00D93772" w:rsidRPr="00D93772" w:rsidRDefault="00D93772" w:rsidP="0006658B">
      <w:pPr>
        <w:ind w:firstLine="284"/>
        <w:rPr>
          <w:sz w:val="21"/>
          <w:szCs w:val="21"/>
        </w:rPr>
      </w:pPr>
      <w:r w:rsidRPr="00D93772">
        <w:rPr>
          <w:sz w:val="21"/>
          <w:szCs w:val="21"/>
        </w:rPr>
        <w:t>Veghaldari skal afla umsagnar Vegagerðar og lögreglu á grundvelli beiðninnar og tekur í kjölfarið ákvörðun um lokun og takmörkun umferðar. Ákvörðun veghaldara er kæranleg til innanríkisráðuneytisins.</w:t>
      </w:r>
    </w:p>
    <w:p w:rsidR="00D93772" w:rsidRPr="00D93772" w:rsidRDefault="00D93772" w:rsidP="0006658B">
      <w:pPr>
        <w:ind w:firstLine="284"/>
        <w:rPr>
          <w:sz w:val="21"/>
          <w:szCs w:val="21"/>
        </w:rPr>
      </w:pPr>
      <w:r w:rsidRPr="00D93772">
        <w:rPr>
          <w:sz w:val="21"/>
          <w:szCs w:val="21"/>
        </w:rPr>
        <w:t xml:space="preserve"> </w:t>
      </w:r>
    </w:p>
    <w:p w:rsidR="00D93772" w:rsidRPr="00D93772" w:rsidRDefault="00D93772" w:rsidP="0006658B">
      <w:pPr>
        <w:pStyle w:val="Heading3"/>
        <w:ind w:firstLine="284"/>
        <w:rPr>
          <w:szCs w:val="21"/>
        </w:rPr>
      </w:pPr>
      <w:r w:rsidRPr="00D93772">
        <w:rPr>
          <w:szCs w:val="21"/>
        </w:rPr>
        <w:t>4. gr.</w:t>
      </w:r>
    </w:p>
    <w:p w:rsidR="00D93772" w:rsidRPr="00D93772" w:rsidRDefault="00D93772" w:rsidP="0006658B">
      <w:pPr>
        <w:pStyle w:val="Heading4"/>
        <w:ind w:firstLine="284"/>
        <w:rPr>
          <w:szCs w:val="21"/>
        </w:rPr>
      </w:pPr>
      <w:bookmarkStart w:id="0" w:name="_GoBack"/>
      <w:bookmarkEnd w:id="0"/>
      <w:r w:rsidRPr="00D93772">
        <w:rPr>
          <w:szCs w:val="21"/>
        </w:rPr>
        <w:t>Ábyrgð veghaldara.</w:t>
      </w:r>
    </w:p>
    <w:p w:rsidR="00D93772" w:rsidRPr="00D93772" w:rsidRDefault="00D93772" w:rsidP="0006658B">
      <w:pPr>
        <w:ind w:firstLine="284"/>
        <w:rPr>
          <w:sz w:val="21"/>
          <w:szCs w:val="21"/>
        </w:rPr>
      </w:pPr>
      <w:bookmarkStart w:id="1" w:name="G43M1"/>
      <w:r w:rsidRPr="00D93772">
        <w:rPr>
          <w:sz w:val="21"/>
          <w:szCs w:val="21"/>
        </w:rPr>
        <w:t>Veghaldari ber ábyrgð á veghaldi vegar og öllum þeim vegmerkingum og útbúnaði sem er til staðar í því vegakerfi sem hann hefur umsjón með og rekur. Hann getur stjórnað umferð þar sem unnið er við eða á veg, eftir því sem nauðsynlegt er og þar á meðal beint henni fram hjá svæðinu.</w:t>
      </w:r>
      <w:bookmarkStart w:id="2" w:name="G43M2"/>
      <w:bookmarkEnd w:id="1"/>
    </w:p>
    <w:bookmarkEnd w:id="2"/>
    <w:p w:rsidR="00D93772" w:rsidRPr="00D93772" w:rsidRDefault="00D93772" w:rsidP="0006658B">
      <w:pPr>
        <w:ind w:firstLine="284"/>
        <w:rPr>
          <w:sz w:val="21"/>
          <w:szCs w:val="21"/>
        </w:rPr>
      </w:pPr>
      <w:r w:rsidRPr="00D93772">
        <w:rPr>
          <w:sz w:val="21"/>
          <w:szCs w:val="21"/>
        </w:rPr>
        <w:t>Veghaldari ber ábyrgð á að íbúum og þeim sem hafa starfsstöð eða athafnasvæði nálægt starfsemi eða viðburði sé tilkynnt um umferðartafir, sem ætla má að verði, og um fyrir</w:t>
      </w:r>
      <w:r w:rsidRPr="00D93772">
        <w:rPr>
          <w:sz w:val="21"/>
          <w:szCs w:val="21"/>
        </w:rPr>
        <w:softHyphen/>
        <w:t xml:space="preserve">hugaða takmörkun á umferð. </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5. gr.</w:t>
      </w:r>
    </w:p>
    <w:p w:rsidR="00D93772" w:rsidRPr="00D93772" w:rsidRDefault="00D93772" w:rsidP="0006658B">
      <w:pPr>
        <w:pStyle w:val="Heading4"/>
        <w:ind w:firstLine="284"/>
        <w:rPr>
          <w:szCs w:val="21"/>
        </w:rPr>
      </w:pPr>
      <w:r w:rsidRPr="00D93772">
        <w:rPr>
          <w:szCs w:val="21"/>
        </w:rPr>
        <w:t>Öryggisáætlun.</w:t>
      </w:r>
    </w:p>
    <w:p w:rsidR="00D93772" w:rsidRPr="00D93772" w:rsidRDefault="00D93772" w:rsidP="0006658B">
      <w:pPr>
        <w:ind w:firstLine="284"/>
        <w:rPr>
          <w:sz w:val="21"/>
          <w:szCs w:val="21"/>
        </w:rPr>
      </w:pPr>
      <w:r w:rsidRPr="00D93772">
        <w:rPr>
          <w:sz w:val="21"/>
          <w:szCs w:val="21"/>
        </w:rPr>
        <w:t>Áður en starfsemi hefst á og við veg skal ábyrgðaraðili starfseminnar gera ítarlega öryggisáætlun þar sem lýst er nauðsynlegum öryggisráðstöfunum vegna starfseminnar. Þar komi m.a. fram hvernig afmarka skuli starfsemi eða viðburð, hvernig merkingum  skuli háttað og hvort og hvernig skipuleggja skuli hjáleiðir. Ennfremur skal í öryggisáætlun koma fram hvernig kynningu og auglýs</w:t>
      </w:r>
      <w:r w:rsidRPr="00D93772">
        <w:rPr>
          <w:sz w:val="21"/>
          <w:szCs w:val="21"/>
        </w:rPr>
        <w:softHyphen/>
        <w:t xml:space="preserve">ingu vegna lokunar vegar verður háttað. </w:t>
      </w:r>
    </w:p>
    <w:p w:rsidR="00D93772" w:rsidRPr="00D93772" w:rsidRDefault="00D93772" w:rsidP="0006658B">
      <w:pPr>
        <w:ind w:firstLine="284"/>
        <w:rPr>
          <w:sz w:val="21"/>
          <w:szCs w:val="21"/>
        </w:rPr>
      </w:pPr>
      <w:r w:rsidRPr="00D93772">
        <w:rPr>
          <w:spacing w:val="-2"/>
          <w:sz w:val="21"/>
          <w:szCs w:val="21"/>
        </w:rPr>
        <w:t xml:space="preserve">Öryggisáætlun skal bera undir veghaldara til samþykkis og skal samþykkt eintak öryggisáætlunar </w:t>
      </w:r>
      <w:r w:rsidRPr="00D93772">
        <w:rPr>
          <w:sz w:val="21"/>
          <w:szCs w:val="21"/>
        </w:rPr>
        <w:t xml:space="preserve">vera tiltækt á svæðinu og hjá lögreglu í viðkomandi lögsagnarumdæmi. </w:t>
      </w:r>
    </w:p>
    <w:p w:rsidR="00D93772" w:rsidRPr="00D93772" w:rsidRDefault="00D93772" w:rsidP="0006658B">
      <w:pPr>
        <w:ind w:firstLine="284"/>
        <w:rPr>
          <w:sz w:val="21"/>
          <w:szCs w:val="21"/>
        </w:rPr>
      </w:pPr>
      <w:r w:rsidRPr="00D93772">
        <w:rPr>
          <w:sz w:val="21"/>
          <w:szCs w:val="21"/>
        </w:rPr>
        <w:t>Veghaldari getur ákveðið að hann, í stað ábyrgðaraðila, geri öryggisáætlun. Skal hann tilkynna ábyrgðaraðila um þá ákvörðun.</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6. gr.</w:t>
      </w:r>
    </w:p>
    <w:p w:rsidR="00D93772" w:rsidRPr="00D93772" w:rsidRDefault="00D93772" w:rsidP="0006658B">
      <w:pPr>
        <w:pStyle w:val="Heading4"/>
        <w:ind w:firstLine="284"/>
        <w:rPr>
          <w:szCs w:val="21"/>
        </w:rPr>
      </w:pPr>
      <w:r w:rsidRPr="00D93772">
        <w:rPr>
          <w:szCs w:val="21"/>
        </w:rPr>
        <w:t>Eftirlitsmaður.</w:t>
      </w:r>
    </w:p>
    <w:p w:rsidR="00D93772" w:rsidRPr="00D93772" w:rsidRDefault="00D93772" w:rsidP="0006658B">
      <w:pPr>
        <w:ind w:firstLine="284"/>
        <w:rPr>
          <w:sz w:val="21"/>
          <w:szCs w:val="21"/>
        </w:rPr>
      </w:pPr>
      <w:r w:rsidRPr="00D93772">
        <w:rPr>
          <w:sz w:val="21"/>
          <w:szCs w:val="21"/>
        </w:rPr>
        <w:t xml:space="preserve">Í öryggisáætlun fyrir hvert svæði skal tilgreindur sérstakur eftirlitsmaður sem skal sjá um að allar öryggisráðstafanir á og við veg séu í samræmi við öryggisáætlun. Veghaldari ákveður hverju sinni hvort hann eða ábyrgðaraðili tilnefni eftirlitsmanninn. </w:t>
      </w:r>
    </w:p>
    <w:p w:rsidR="00D93772" w:rsidRPr="00D93772" w:rsidRDefault="00D93772" w:rsidP="0006658B">
      <w:pPr>
        <w:ind w:firstLine="284"/>
        <w:rPr>
          <w:sz w:val="21"/>
          <w:szCs w:val="21"/>
        </w:rPr>
      </w:pPr>
      <w:r w:rsidRPr="00D93772">
        <w:rPr>
          <w:sz w:val="21"/>
          <w:szCs w:val="21"/>
        </w:rPr>
        <w:t xml:space="preserve">Eftirlitsmaðurinn skal vera tiltækur hvenær sem er meðan á starfsemi stendur og skal hann sinna ábendingum veghaldara, lögreglu eða annarra sem fara með eftirlit á svæðinu, varðandi hættu </w:t>
      </w:r>
      <w:r w:rsidRPr="00D93772">
        <w:rPr>
          <w:spacing w:val="-2"/>
          <w:sz w:val="21"/>
          <w:szCs w:val="21"/>
        </w:rPr>
        <w:t>vegna starfseminnar með tilliti til umhverfis, umferðaröryggis og öryggis starfsmanna. Í forföllum eftirlits</w:t>
      </w:r>
      <w:r w:rsidRPr="00D93772">
        <w:rPr>
          <w:spacing w:val="-2"/>
          <w:sz w:val="21"/>
          <w:szCs w:val="21"/>
        </w:rPr>
        <w:softHyphen/>
      </w:r>
      <w:r w:rsidRPr="00D93772">
        <w:rPr>
          <w:sz w:val="21"/>
          <w:szCs w:val="21"/>
        </w:rPr>
        <w:t>manns skal varamaður koma í hans stað. Nafn eftirlitsmanns og varamanns ásamt símanúmeri skal koma fram á upplýsingatöflu við svæðið ef þörf krefur.</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7. gr.</w:t>
      </w:r>
    </w:p>
    <w:p w:rsidR="00D93772" w:rsidRPr="00D93772" w:rsidRDefault="00D93772" w:rsidP="0006658B">
      <w:pPr>
        <w:pStyle w:val="Heading4"/>
        <w:ind w:firstLine="284"/>
        <w:rPr>
          <w:szCs w:val="21"/>
        </w:rPr>
      </w:pPr>
      <w:r w:rsidRPr="00D93772">
        <w:rPr>
          <w:szCs w:val="21"/>
        </w:rPr>
        <w:t>Merking.</w:t>
      </w:r>
    </w:p>
    <w:p w:rsidR="00D93772" w:rsidRPr="00D93772" w:rsidRDefault="00D93772" w:rsidP="0006658B">
      <w:pPr>
        <w:ind w:firstLine="284"/>
        <w:rPr>
          <w:sz w:val="21"/>
          <w:szCs w:val="21"/>
        </w:rPr>
      </w:pPr>
      <w:r w:rsidRPr="00D93772">
        <w:rPr>
          <w:sz w:val="21"/>
          <w:szCs w:val="21"/>
        </w:rPr>
        <w:t>Þar sem starfsemi er á og við veg þannig að truflun eða hætta getur stafað af, er þeim, sem stjórnar verki skylt að sjá um að staðurinn sé merktur á fullnægjandi hátt frá upphafi verks.</w:t>
      </w:r>
    </w:p>
    <w:p w:rsidR="00D93772" w:rsidRPr="00D93772" w:rsidRDefault="00D93772" w:rsidP="0006658B">
      <w:pPr>
        <w:ind w:firstLine="284"/>
        <w:rPr>
          <w:sz w:val="21"/>
          <w:szCs w:val="21"/>
        </w:rPr>
      </w:pPr>
      <w:r w:rsidRPr="00D93772">
        <w:rPr>
          <w:sz w:val="21"/>
          <w:szCs w:val="21"/>
        </w:rPr>
        <w:t xml:space="preserve">Umferðarmerki skulu vera að öllu leyti í samræmi við reglugerð um umferðarmerki og notkun þeirra. Þeim skal þannig komið fyrir að þau séu stöðug, vel sýnileg og ekki hættuleg fyrir starfsmenn eða vegfarendur. Umferðarmerkjum skal ávallt haldið hreinum. </w:t>
      </w:r>
    </w:p>
    <w:p w:rsidR="00D93772" w:rsidRPr="00D93772" w:rsidRDefault="00D93772" w:rsidP="0006658B">
      <w:pPr>
        <w:ind w:firstLine="284"/>
        <w:rPr>
          <w:sz w:val="21"/>
          <w:szCs w:val="21"/>
        </w:rPr>
      </w:pPr>
      <w:r w:rsidRPr="00D93772">
        <w:rPr>
          <w:sz w:val="21"/>
          <w:szCs w:val="21"/>
        </w:rPr>
        <w:t xml:space="preserve">Umferðarmerki, þ.m.t. merking á yfirborði vegar, sem fyrir eru á vegsvæði, skal fjarlægja eða hylja með yfirbreiðslum eða með öðrum hætti ef notkun þess á ekki við á tíma starfseminnar eða það gefur villandi upplýsingar um umferð um veginn. </w:t>
      </w:r>
    </w:p>
    <w:p w:rsidR="00D93772" w:rsidRPr="00D93772" w:rsidRDefault="00D93772" w:rsidP="0006658B">
      <w:pPr>
        <w:ind w:firstLine="284"/>
        <w:rPr>
          <w:sz w:val="21"/>
          <w:szCs w:val="21"/>
        </w:rPr>
      </w:pPr>
      <w:r w:rsidRPr="00D93772">
        <w:rPr>
          <w:sz w:val="21"/>
          <w:szCs w:val="21"/>
        </w:rPr>
        <w:t>Við merkingu vegna starfsemi skal taka sérstakt tillit til varna og útbúnaðar fyrir fatlaða og óvarða vegfarendur.</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8. gr.</w:t>
      </w:r>
    </w:p>
    <w:p w:rsidR="00D93772" w:rsidRPr="00D93772" w:rsidRDefault="00D93772" w:rsidP="0006658B">
      <w:pPr>
        <w:pStyle w:val="Heading4"/>
        <w:ind w:firstLine="284"/>
        <w:rPr>
          <w:szCs w:val="21"/>
        </w:rPr>
      </w:pPr>
      <w:r w:rsidRPr="00D93772">
        <w:rPr>
          <w:szCs w:val="21"/>
        </w:rPr>
        <w:t xml:space="preserve">Stöðvun starsfemi eða viðburðar </w:t>
      </w:r>
    </w:p>
    <w:p w:rsidR="00D93772" w:rsidRPr="00D93772" w:rsidRDefault="00D93772" w:rsidP="0006658B">
      <w:pPr>
        <w:ind w:firstLine="284"/>
        <w:rPr>
          <w:sz w:val="21"/>
          <w:szCs w:val="21"/>
        </w:rPr>
      </w:pPr>
      <w:r w:rsidRPr="00D93772">
        <w:rPr>
          <w:spacing w:val="-2"/>
          <w:sz w:val="21"/>
          <w:szCs w:val="21"/>
        </w:rPr>
        <w:t>Lögregla eða veghaldari geta stöðvað starfsemi</w:t>
      </w:r>
      <w:r w:rsidR="003F5513">
        <w:rPr>
          <w:spacing w:val="-2"/>
          <w:sz w:val="21"/>
          <w:szCs w:val="21"/>
        </w:rPr>
        <w:t xml:space="preserve"> eða viðburð</w:t>
      </w:r>
      <w:r w:rsidRPr="00D93772">
        <w:rPr>
          <w:spacing w:val="-2"/>
          <w:sz w:val="21"/>
          <w:szCs w:val="21"/>
        </w:rPr>
        <w:t xml:space="preserve">, teljist það nauðsynlegt vegna hættu fyrir vegfarendur </w:t>
      </w:r>
      <w:r w:rsidRPr="00D93772">
        <w:rPr>
          <w:sz w:val="21"/>
          <w:szCs w:val="21"/>
        </w:rPr>
        <w:t>eða þá sem vinna á svæðinu. Sama á við ef samþykkt öryggisáætlun liggur ekki fyrir við upphaf verks eða samþykktri áætlun hefur ekki verið fylgt eftir.</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9. gr.</w:t>
      </w:r>
    </w:p>
    <w:p w:rsidR="00D93772" w:rsidRPr="00D93772" w:rsidRDefault="00D93772" w:rsidP="0006658B">
      <w:pPr>
        <w:pStyle w:val="Heading4"/>
        <w:ind w:firstLine="284"/>
        <w:rPr>
          <w:szCs w:val="21"/>
        </w:rPr>
      </w:pPr>
      <w:r w:rsidRPr="00D93772">
        <w:rPr>
          <w:szCs w:val="21"/>
        </w:rPr>
        <w:t>Umferðartafir.</w:t>
      </w:r>
    </w:p>
    <w:p w:rsidR="00D93772" w:rsidRPr="00D93772" w:rsidRDefault="00D93772" w:rsidP="0006658B">
      <w:pPr>
        <w:ind w:firstLine="284"/>
        <w:rPr>
          <w:sz w:val="21"/>
          <w:szCs w:val="21"/>
        </w:rPr>
      </w:pPr>
      <w:r w:rsidRPr="00D93772">
        <w:rPr>
          <w:sz w:val="21"/>
          <w:szCs w:val="21"/>
        </w:rPr>
        <w:t>Þegar veghaldari telur að lokun vegar tímabundið geti valdið verulegum umferðartöfum skal setja upp bráðabirgðatöflu eða hjáleiðarmerki þar sem fram kemur um hvaða veg (vegnúmer) sé að ræða, hve langt sé að svæðinu og hvaða leið sé heppilegast að velja í staðinn.</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10. gr.</w:t>
      </w:r>
    </w:p>
    <w:p w:rsidR="00D93772" w:rsidRPr="00D93772" w:rsidRDefault="00D93772" w:rsidP="0006658B">
      <w:pPr>
        <w:pStyle w:val="Heading4"/>
        <w:ind w:firstLine="284"/>
        <w:rPr>
          <w:szCs w:val="21"/>
        </w:rPr>
      </w:pPr>
      <w:r w:rsidRPr="00D93772">
        <w:rPr>
          <w:szCs w:val="21"/>
        </w:rPr>
        <w:t>Hlé gert á starfsemi eða viðburði.</w:t>
      </w:r>
    </w:p>
    <w:p w:rsidR="00D93772" w:rsidRPr="00D93772" w:rsidRDefault="00D93772" w:rsidP="0006658B">
      <w:pPr>
        <w:ind w:firstLine="284"/>
        <w:rPr>
          <w:sz w:val="21"/>
          <w:szCs w:val="21"/>
        </w:rPr>
      </w:pPr>
      <w:r w:rsidRPr="00D93772">
        <w:rPr>
          <w:sz w:val="21"/>
          <w:szCs w:val="21"/>
        </w:rPr>
        <w:t xml:space="preserve">Verði hlé á starfsemi eða viðburði skal fjarlægja merki sem ekki gilda á meðan. Þó er heimilt, sé starfsemi hafin á ný innan viku, að hylja merki með yfirbreiðslu. Ekki nægir að leggja merki út af eða snúa því. </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11. gr.</w:t>
      </w:r>
    </w:p>
    <w:p w:rsidR="00D93772" w:rsidRPr="00D93772" w:rsidRDefault="00D93772" w:rsidP="0006658B">
      <w:pPr>
        <w:pStyle w:val="Heading4"/>
        <w:ind w:firstLine="284"/>
        <w:rPr>
          <w:szCs w:val="21"/>
        </w:rPr>
      </w:pPr>
      <w:r w:rsidRPr="00D93772">
        <w:rPr>
          <w:szCs w:val="21"/>
        </w:rPr>
        <w:t>Lok á starfsemi eða viðburði.</w:t>
      </w:r>
    </w:p>
    <w:p w:rsidR="00D93772" w:rsidRPr="00D93772" w:rsidRDefault="00D93772" w:rsidP="0006658B">
      <w:pPr>
        <w:ind w:firstLine="284"/>
        <w:rPr>
          <w:sz w:val="21"/>
          <w:szCs w:val="21"/>
        </w:rPr>
      </w:pPr>
      <w:r w:rsidRPr="00D93772">
        <w:rPr>
          <w:sz w:val="21"/>
          <w:szCs w:val="21"/>
        </w:rPr>
        <w:t>Þegar starfsemi eða viðburði er lokið og öllum takmörkunum á umferð um veg aflétt, skal fjarlægja öll umferðar</w:t>
      </w:r>
      <w:r w:rsidRPr="00D93772">
        <w:rPr>
          <w:sz w:val="21"/>
          <w:szCs w:val="21"/>
        </w:rPr>
        <w:softHyphen/>
        <w:t xml:space="preserve">merki sem sett voru upp vegna verksins. Sama gildir um aðra merkingu, s.s. yfirborðsmerkingu. Koma skal merkingu í fyrra horf nema veghaldari eða lögregla ákveði annað. </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12. gr.</w:t>
      </w:r>
    </w:p>
    <w:p w:rsidR="00D93772" w:rsidRPr="00D93772" w:rsidRDefault="00D93772" w:rsidP="0006658B">
      <w:pPr>
        <w:pStyle w:val="Heading4"/>
        <w:ind w:firstLine="284"/>
        <w:rPr>
          <w:szCs w:val="21"/>
        </w:rPr>
      </w:pPr>
      <w:r w:rsidRPr="00D93772">
        <w:rPr>
          <w:szCs w:val="21"/>
        </w:rPr>
        <w:t>Reglur.</w:t>
      </w:r>
    </w:p>
    <w:p w:rsidR="00D93772" w:rsidRPr="00D93772" w:rsidRDefault="00D93772" w:rsidP="0006658B">
      <w:pPr>
        <w:ind w:firstLine="284"/>
        <w:rPr>
          <w:sz w:val="21"/>
          <w:szCs w:val="21"/>
        </w:rPr>
      </w:pPr>
      <w:r w:rsidRPr="00D93772">
        <w:rPr>
          <w:sz w:val="21"/>
          <w:szCs w:val="21"/>
        </w:rPr>
        <w:t>Vegagerðin skal gefa út verklagsreglur vegna starfsemi eða viðburða á og við veg þar sem fram koma helstu atriði sem lögð skulu til grundvallar við merkingar svæða starfsemi eða viðburða og gerð öryggis</w:t>
      </w:r>
      <w:r w:rsidRPr="00D93772">
        <w:rPr>
          <w:sz w:val="21"/>
          <w:szCs w:val="21"/>
        </w:rPr>
        <w:softHyphen/>
        <w:t>áætlunar.</w:t>
      </w:r>
    </w:p>
    <w:p w:rsidR="00D93772" w:rsidRPr="00D93772" w:rsidRDefault="00D93772" w:rsidP="0006658B">
      <w:pPr>
        <w:ind w:firstLine="284"/>
        <w:rPr>
          <w:sz w:val="21"/>
          <w:szCs w:val="21"/>
        </w:rPr>
      </w:pPr>
      <w:r w:rsidRPr="00D93772">
        <w:rPr>
          <w:sz w:val="21"/>
          <w:szCs w:val="21"/>
        </w:rPr>
        <w:t>Í reglunum komi einnig fram starfslýsing og reglur um þjálfun, menntun og menntunarkröfur þeirra sem sinna merkingum og eftirliti á svæði vegna  starfsemi eða viðburða</w:t>
      </w:r>
      <w:r w:rsidR="003F5513">
        <w:rPr>
          <w:sz w:val="21"/>
          <w:szCs w:val="21"/>
        </w:rPr>
        <w:t xml:space="preserve"> </w:t>
      </w:r>
      <w:r w:rsidRPr="00D93772">
        <w:rPr>
          <w:sz w:val="21"/>
          <w:szCs w:val="21"/>
        </w:rPr>
        <w:t>á og við veg.</w:t>
      </w:r>
    </w:p>
    <w:p w:rsidR="00D93772" w:rsidRPr="00D93772" w:rsidRDefault="00D93772" w:rsidP="0006658B">
      <w:pPr>
        <w:ind w:firstLine="284"/>
        <w:rPr>
          <w:sz w:val="21"/>
          <w:szCs w:val="21"/>
        </w:rPr>
      </w:pPr>
      <w:r w:rsidRPr="00D93772">
        <w:rPr>
          <w:sz w:val="21"/>
          <w:szCs w:val="21"/>
        </w:rPr>
        <w:t>Reglurnar skulu vera aðgengilegar á heimasíðu Vegagerðarinnar.</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13. gr.</w:t>
      </w:r>
    </w:p>
    <w:p w:rsidR="00D93772" w:rsidRPr="00D93772" w:rsidRDefault="00D93772" w:rsidP="0006658B">
      <w:pPr>
        <w:pStyle w:val="Heading4"/>
        <w:ind w:firstLine="284"/>
        <w:rPr>
          <w:szCs w:val="21"/>
        </w:rPr>
      </w:pPr>
      <w:r w:rsidRPr="00D93772">
        <w:rPr>
          <w:szCs w:val="21"/>
        </w:rPr>
        <w:t>Refsiákvæði.</w:t>
      </w:r>
    </w:p>
    <w:p w:rsidR="00D93772" w:rsidRPr="00D93772" w:rsidRDefault="00D93772" w:rsidP="0006658B">
      <w:pPr>
        <w:ind w:firstLine="284"/>
        <w:rPr>
          <w:sz w:val="21"/>
          <w:szCs w:val="21"/>
        </w:rPr>
      </w:pPr>
      <w:r w:rsidRPr="00D93772">
        <w:rPr>
          <w:sz w:val="21"/>
          <w:szCs w:val="21"/>
        </w:rPr>
        <w:t>Brot á reglugerð þessari varða refsingu samkvæmt XIV. kafla umferðarlaga nr. 50/1987 og 59. gr. vegalaga nr. 80/2007.</w:t>
      </w:r>
    </w:p>
    <w:p w:rsidR="00D93772" w:rsidRPr="00D93772" w:rsidRDefault="00D93772" w:rsidP="0006658B">
      <w:pPr>
        <w:ind w:firstLine="284"/>
        <w:rPr>
          <w:sz w:val="21"/>
          <w:szCs w:val="21"/>
        </w:rPr>
      </w:pPr>
    </w:p>
    <w:p w:rsidR="00D93772" w:rsidRPr="00D93772" w:rsidRDefault="00D93772" w:rsidP="0006658B">
      <w:pPr>
        <w:pStyle w:val="Heading3"/>
        <w:ind w:firstLine="284"/>
        <w:rPr>
          <w:szCs w:val="21"/>
        </w:rPr>
      </w:pPr>
      <w:r w:rsidRPr="00D93772">
        <w:rPr>
          <w:szCs w:val="21"/>
        </w:rPr>
        <w:t>14. gr.</w:t>
      </w:r>
    </w:p>
    <w:p w:rsidR="00D93772" w:rsidRPr="00D93772" w:rsidRDefault="00D93772" w:rsidP="0006658B">
      <w:pPr>
        <w:pStyle w:val="Heading4"/>
        <w:ind w:firstLine="284"/>
        <w:rPr>
          <w:szCs w:val="21"/>
        </w:rPr>
      </w:pPr>
      <w:r w:rsidRPr="00D93772">
        <w:rPr>
          <w:szCs w:val="21"/>
        </w:rPr>
        <w:t>Gildisákvæði.</w:t>
      </w:r>
    </w:p>
    <w:p w:rsidR="00D93772" w:rsidRPr="00D93772" w:rsidRDefault="00D93772" w:rsidP="0006658B">
      <w:pPr>
        <w:ind w:firstLine="284"/>
        <w:rPr>
          <w:sz w:val="21"/>
          <w:szCs w:val="21"/>
        </w:rPr>
      </w:pPr>
      <w:r w:rsidRPr="00D93772">
        <w:rPr>
          <w:sz w:val="21"/>
          <w:szCs w:val="21"/>
        </w:rPr>
        <w:t xml:space="preserve">Reglugerð þessi, sem er sett samkvæmt 77., 79., og 84. gr. umferðarlaga nr. 50/1987 öðlast þegar gildi. </w:t>
      </w:r>
    </w:p>
    <w:p w:rsidR="00D93772" w:rsidRPr="00D93772" w:rsidRDefault="00D93772" w:rsidP="0006658B">
      <w:pPr>
        <w:ind w:firstLine="284"/>
        <w:rPr>
          <w:sz w:val="21"/>
          <w:szCs w:val="21"/>
        </w:rPr>
      </w:pPr>
    </w:p>
    <w:p w:rsidR="00D93772" w:rsidRPr="00D93772" w:rsidRDefault="00D93772" w:rsidP="0006658B">
      <w:pPr>
        <w:ind w:firstLine="284"/>
        <w:jc w:val="center"/>
        <w:rPr>
          <w:i/>
          <w:sz w:val="21"/>
          <w:szCs w:val="21"/>
        </w:rPr>
      </w:pPr>
      <w:r w:rsidRPr="00D93772">
        <w:rPr>
          <w:i/>
          <w:sz w:val="21"/>
          <w:szCs w:val="21"/>
        </w:rPr>
        <w:t>Innanríkisráðuneytinu,</w:t>
      </w:r>
    </w:p>
    <w:sectPr w:rsidR="00D93772" w:rsidRPr="00D93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55" w:rsidRDefault="004C1A55" w:rsidP="00D93772">
      <w:r>
        <w:separator/>
      </w:r>
    </w:p>
  </w:endnote>
  <w:endnote w:type="continuationSeparator" w:id="0">
    <w:p w:rsidR="004C1A55" w:rsidRDefault="004C1A55" w:rsidP="00D9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9B" w:rsidRDefault="000C4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9B" w:rsidRDefault="000C4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9B" w:rsidRDefault="000C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55" w:rsidRDefault="004C1A55" w:rsidP="00D93772">
      <w:r>
        <w:separator/>
      </w:r>
    </w:p>
  </w:footnote>
  <w:footnote w:type="continuationSeparator" w:id="0">
    <w:p w:rsidR="004C1A55" w:rsidRDefault="004C1A55" w:rsidP="00D9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9B" w:rsidRDefault="00425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82"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D R Ö 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9B" w:rsidRDefault="00425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83"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D R Ö 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9B" w:rsidRDefault="00425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81"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D R Ö 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72"/>
    <w:rsid w:val="000012C5"/>
    <w:rsid w:val="000150B8"/>
    <w:rsid w:val="000226B2"/>
    <w:rsid w:val="0002397D"/>
    <w:rsid w:val="00023D18"/>
    <w:rsid w:val="00027AE9"/>
    <w:rsid w:val="00040ADE"/>
    <w:rsid w:val="0004159A"/>
    <w:rsid w:val="000504BC"/>
    <w:rsid w:val="00052AB0"/>
    <w:rsid w:val="00057FD5"/>
    <w:rsid w:val="00061B0C"/>
    <w:rsid w:val="0006658B"/>
    <w:rsid w:val="00072F46"/>
    <w:rsid w:val="00074031"/>
    <w:rsid w:val="00080BFD"/>
    <w:rsid w:val="0008306A"/>
    <w:rsid w:val="0008505A"/>
    <w:rsid w:val="000913A3"/>
    <w:rsid w:val="0009230F"/>
    <w:rsid w:val="00093C7C"/>
    <w:rsid w:val="00094630"/>
    <w:rsid w:val="00095959"/>
    <w:rsid w:val="00097F73"/>
    <w:rsid w:val="000A0764"/>
    <w:rsid w:val="000A747F"/>
    <w:rsid w:val="000C499B"/>
    <w:rsid w:val="000C49DA"/>
    <w:rsid w:val="000C7454"/>
    <w:rsid w:val="000D27DA"/>
    <w:rsid w:val="00100339"/>
    <w:rsid w:val="00101FD2"/>
    <w:rsid w:val="001020D4"/>
    <w:rsid w:val="0010447B"/>
    <w:rsid w:val="001127C8"/>
    <w:rsid w:val="00112BDF"/>
    <w:rsid w:val="00113D00"/>
    <w:rsid w:val="001157DF"/>
    <w:rsid w:val="00122E84"/>
    <w:rsid w:val="00123C61"/>
    <w:rsid w:val="001264ED"/>
    <w:rsid w:val="00132CB1"/>
    <w:rsid w:val="001339D5"/>
    <w:rsid w:val="00134B11"/>
    <w:rsid w:val="00135EA6"/>
    <w:rsid w:val="00137791"/>
    <w:rsid w:val="00141E24"/>
    <w:rsid w:val="00160412"/>
    <w:rsid w:val="00171D58"/>
    <w:rsid w:val="0017328D"/>
    <w:rsid w:val="00177A8F"/>
    <w:rsid w:val="00181402"/>
    <w:rsid w:val="001877C8"/>
    <w:rsid w:val="0019058A"/>
    <w:rsid w:val="00191F28"/>
    <w:rsid w:val="00193738"/>
    <w:rsid w:val="00196A79"/>
    <w:rsid w:val="00197FCE"/>
    <w:rsid w:val="001A77B0"/>
    <w:rsid w:val="001B299E"/>
    <w:rsid w:val="001D6F98"/>
    <w:rsid w:val="001D7479"/>
    <w:rsid w:val="002004E4"/>
    <w:rsid w:val="00223D37"/>
    <w:rsid w:val="00236ECA"/>
    <w:rsid w:val="00240AFC"/>
    <w:rsid w:val="002466EB"/>
    <w:rsid w:val="00254EE5"/>
    <w:rsid w:val="002571E9"/>
    <w:rsid w:val="00262568"/>
    <w:rsid w:val="00275864"/>
    <w:rsid w:val="002830E7"/>
    <w:rsid w:val="00283703"/>
    <w:rsid w:val="00296D83"/>
    <w:rsid w:val="002A2B24"/>
    <w:rsid w:val="002A4A81"/>
    <w:rsid w:val="002A6EC6"/>
    <w:rsid w:val="002B0100"/>
    <w:rsid w:val="002B014C"/>
    <w:rsid w:val="002B19C8"/>
    <w:rsid w:val="002B3245"/>
    <w:rsid w:val="002C5DF2"/>
    <w:rsid w:val="002C734D"/>
    <w:rsid w:val="002E129D"/>
    <w:rsid w:val="002F1526"/>
    <w:rsid w:val="002F50B7"/>
    <w:rsid w:val="003102F2"/>
    <w:rsid w:val="003219D7"/>
    <w:rsid w:val="00321BF8"/>
    <w:rsid w:val="00325490"/>
    <w:rsid w:val="00330125"/>
    <w:rsid w:val="003314F3"/>
    <w:rsid w:val="003349B6"/>
    <w:rsid w:val="00340156"/>
    <w:rsid w:val="00362E6C"/>
    <w:rsid w:val="00366BC7"/>
    <w:rsid w:val="0037086E"/>
    <w:rsid w:val="00371923"/>
    <w:rsid w:val="00376D77"/>
    <w:rsid w:val="00382E4F"/>
    <w:rsid w:val="003924D2"/>
    <w:rsid w:val="0039652D"/>
    <w:rsid w:val="003A12AD"/>
    <w:rsid w:val="003B3315"/>
    <w:rsid w:val="003B5F63"/>
    <w:rsid w:val="003C2747"/>
    <w:rsid w:val="003C3E1E"/>
    <w:rsid w:val="003C44CE"/>
    <w:rsid w:val="003D430C"/>
    <w:rsid w:val="003F5513"/>
    <w:rsid w:val="003F6F30"/>
    <w:rsid w:val="00407DD0"/>
    <w:rsid w:val="004103F4"/>
    <w:rsid w:val="004109E4"/>
    <w:rsid w:val="00412535"/>
    <w:rsid w:val="00414974"/>
    <w:rsid w:val="00414CBD"/>
    <w:rsid w:val="004252F0"/>
    <w:rsid w:val="00426354"/>
    <w:rsid w:val="0044489C"/>
    <w:rsid w:val="004578C9"/>
    <w:rsid w:val="00457F5A"/>
    <w:rsid w:val="004647D8"/>
    <w:rsid w:val="004728C3"/>
    <w:rsid w:val="004751D4"/>
    <w:rsid w:val="00484794"/>
    <w:rsid w:val="00485579"/>
    <w:rsid w:val="00494957"/>
    <w:rsid w:val="004A6C05"/>
    <w:rsid w:val="004C0772"/>
    <w:rsid w:val="004C1A55"/>
    <w:rsid w:val="004D36FF"/>
    <w:rsid w:val="004D3E41"/>
    <w:rsid w:val="004D46D9"/>
    <w:rsid w:val="004D5C67"/>
    <w:rsid w:val="004D5D1A"/>
    <w:rsid w:val="004D6266"/>
    <w:rsid w:val="004E072C"/>
    <w:rsid w:val="004E3060"/>
    <w:rsid w:val="004E6E89"/>
    <w:rsid w:val="004F3F3E"/>
    <w:rsid w:val="005028A6"/>
    <w:rsid w:val="0050590D"/>
    <w:rsid w:val="005229EF"/>
    <w:rsid w:val="005238AE"/>
    <w:rsid w:val="005250F5"/>
    <w:rsid w:val="00525FD4"/>
    <w:rsid w:val="00532042"/>
    <w:rsid w:val="00552F00"/>
    <w:rsid w:val="005554AE"/>
    <w:rsid w:val="0058735D"/>
    <w:rsid w:val="0059217E"/>
    <w:rsid w:val="00596550"/>
    <w:rsid w:val="00597F8A"/>
    <w:rsid w:val="005A09BE"/>
    <w:rsid w:val="005A3399"/>
    <w:rsid w:val="005B4C3D"/>
    <w:rsid w:val="005C3317"/>
    <w:rsid w:val="005D2040"/>
    <w:rsid w:val="005E136C"/>
    <w:rsid w:val="005F2BA1"/>
    <w:rsid w:val="005F64FD"/>
    <w:rsid w:val="0060193A"/>
    <w:rsid w:val="00604436"/>
    <w:rsid w:val="00617986"/>
    <w:rsid w:val="006352A4"/>
    <w:rsid w:val="00636620"/>
    <w:rsid w:val="00637FA7"/>
    <w:rsid w:val="006453AC"/>
    <w:rsid w:val="0068072E"/>
    <w:rsid w:val="00684322"/>
    <w:rsid w:val="00685876"/>
    <w:rsid w:val="006872B8"/>
    <w:rsid w:val="006930EA"/>
    <w:rsid w:val="00695529"/>
    <w:rsid w:val="006B3C02"/>
    <w:rsid w:val="006B3E84"/>
    <w:rsid w:val="006B53C5"/>
    <w:rsid w:val="006C582E"/>
    <w:rsid w:val="006C7338"/>
    <w:rsid w:val="006D4A59"/>
    <w:rsid w:val="006F0C90"/>
    <w:rsid w:val="00702C58"/>
    <w:rsid w:val="00712C99"/>
    <w:rsid w:val="00717EEE"/>
    <w:rsid w:val="007342E7"/>
    <w:rsid w:val="0074344D"/>
    <w:rsid w:val="00747724"/>
    <w:rsid w:val="0075112F"/>
    <w:rsid w:val="00751AD2"/>
    <w:rsid w:val="0075799D"/>
    <w:rsid w:val="0077028D"/>
    <w:rsid w:val="00773095"/>
    <w:rsid w:val="00774850"/>
    <w:rsid w:val="00774C36"/>
    <w:rsid w:val="007868B8"/>
    <w:rsid w:val="0079534D"/>
    <w:rsid w:val="007962D9"/>
    <w:rsid w:val="007A0173"/>
    <w:rsid w:val="007A4F15"/>
    <w:rsid w:val="007A6A07"/>
    <w:rsid w:val="007C1B3C"/>
    <w:rsid w:val="007C78E0"/>
    <w:rsid w:val="007D14AE"/>
    <w:rsid w:val="007E0379"/>
    <w:rsid w:val="007F0A1D"/>
    <w:rsid w:val="007F3BA6"/>
    <w:rsid w:val="0080045D"/>
    <w:rsid w:val="00802A03"/>
    <w:rsid w:val="00815EF0"/>
    <w:rsid w:val="0081673D"/>
    <w:rsid w:val="008325E7"/>
    <w:rsid w:val="008447FF"/>
    <w:rsid w:val="00861CE1"/>
    <w:rsid w:val="00861E21"/>
    <w:rsid w:val="00861E2D"/>
    <w:rsid w:val="00863D0A"/>
    <w:rsid w:val="00866498"/>
    <w:rsid w:val="00873208"/>
    <w:rsid w:val="008803B2"/>
    <w:rsid w:val="0089662C"/>
    <w:rsid w:val="00897CD2"/>
    <w:rsid w:val="008B22F2"/>
    <w:rsid w:val="008B6F24"/>
    <w:rsid w:val="008C45B9"/>
    <w:rsid w:val="008D0650"/>
    <w:rsid w:val="008D1DDC"/>
    <w:rsid w:val="008D2A26"/>
    <w:rsid w:val="008D4174"/>
    <w:rsid w:val="008D5ABA"/>
    <w:rsid w:val="008E47E6"/>
    <w:rsid w:val="008F0336"/>
    <w:rsid w:val="008F7337"/>
    <w:rsid w:val="0090319E"/>
    <w:rsid w:val="009065B5"/>
    <w:rsid w:val="0091137A"/>
    <w:rsid w:val="00911BCB"/>
    <w:rsid w:val="009317C2"/>
    <w:rsid w:val="00932A6E"/>
    <w:rsid w:val="00944156"/>
    <w:rsid w:val="009467A2"/>
    <w:rsid w:val="0095019F"/>
    <w:rsid w:val="0096785D"/>
    <w:rsid w:val="00974709"/>
    <w:rsid w:val="00986D28"/>
    <w:rsid w:val="009A013A"/>
    <w:rsid w:val="009A2E02"/>
    <w:rsid w:val="009B174E"/>
    <w:rsid w:val="009B2C0D"/>
    <w:rsid w:val="009B2E81"/>
    <w:rsid w:val="009C5182"/>
    <w:rsid w:val="009D23F7"/>
    <w:rsid w:val="009E3F53"/>
    <w:rsid w:val="009F1C60"/>
    <w:rsid w:val="009F7283"/>
    <w:rsid w:val="00A02D53"/>
    <w:rsid w:val="00A03CC9"/>
    <w:rsid w:val="00A1136D"/>
    <w:rsid w:val="00A132D8"/>
    <w:rsid w:val="00A14BC2"/>
    <w:rsid w:val="00A158FE"/>
    <w:rsid w:val="00A20A9F"/>
    <w:rsid w:val="00A316A1"/>
    <w:rsid w:val="00A3335D"/>
    <w:rsid w:val="00A333A1"/>
    <w:rsid w:val="00A40BEF"/>
    <w:rsid w:val="00A5075B"/>
    <w:rsid w:val="00A65AC9"/>
    <w:rsid w:val="00A7331A"/>
    <w:rsid w:val="00A75D6D"/>
    <w:rsid w:val="00A8744A"/>
    <w:rsid w:val="00AB0531"/>
    <w:rsid w:val="00AB242A"/>
    <w:rsid w:val="00AC18F1"/>
    <w:rsid w:val="00AC55BE"/>
    <w:rsid w:val="00AD3761"/>
    <w:rsid w:val="00AD4A6C"/>
    <w:rsid w:val="00AD570B"/>
    <w:rsid w:val="00AE4D48"/>
    <w:rsid w:val="00AE5F20"/>
    <w:rsid w:val="00AF3A2F"/>
    <w:rsid w:val="00B21212"/>
    <w:rsid w:val="00B43465"/>
    <w:rsid w:val="00B451B4"/>
    <w:rsid w:val="00B512DD"/>
    <w:rsid w:val="00B5682D"/>
    <w:rsid w:val="00B56950"/>
    <w:rsid w:val="00B86F41"/>
    <w:rsid w:val="00B90157"/>
    <w:rsid w:val="00B9783F"/>
    <w:rsid w:val="00BA01F0"/>
    <w:rsid w:val="00BA30E8"/>
    <w:rsid w:val="00BA516F"/>
    <w:rsid w:val="00BA7914"/>
    <w:rsid w:val="00BB2FBA"/>
    <w:rsid w:val="00BB505E"/>
    <w:rsid w:val="00BC1D50"/>
    <w:rsid w:val="00BC6403"/>
    <w:rsid w:val="00BE6334"/>
    <w:rsid w:val="00BF3351"/>
    <w:rsid w:val="00BF446E"/>
    <w:rsid w:val="00C11388"/>
    <w:rsid w:val="00C26602"/>
    <w:rsid w:val="00C30EA2"/>
    <w:rsid w:val="00C331F9"/>
    <w:rsid w:val="00C36E94"/>
    <w:rsid w:val="00C43F30"/>
    <w:rsid w:val="00C46E36"/>
    <w:rsid w:val="00C5098E"/>
    <w:rsid w:val="00C5217B"/>
    <w:rsid w:val="00C74930"/>
    <w:rsid w:val="00C752D0"/>
    <w:rsid w:val="00C8204E"/>
    <w:rsid w:val="00C842FD"/>
    <w:rsid w:val="00C95AB8"/>
    <w:rsid w:val="00C95EB4"/>
    <w:rsid w:val="00CA3079"/>
    <w:rsid w:val="00CA491C"/>
    <w:rsid w:val="00CB3716"/>
    <w:rsid w:val="00CB5D6D"/>
    <w:rsid w:val="00CC1C58"/>
    <w:rsid w:val="00CC2BEE"/>
    <w:rsid w:val="00CD5822"/>
    <w:rsid w:val="00CD7926"/>
    <w:rsid w:val="00D00602"/>
    <w:rsid w:val="00D0780F"/>
    <w:rsid w:val="00D13EB3"/>
    <w:rsid w:val="00D16F83"/>
    <w:rsid w:val="00D20C5B"/>
    <w:rsid w:val="00D22300"/>
    <w:rsid w:val="00D22D8F"/>
    <w:rsid w:val="00D311C3"/>
    <w:rsid w:val="00D43B94"/>
    <w:rsid w:val="00D4514D"/>
    <w:rsid w:val="00D549B9"/>
    <w:rsid w:val="00D60441"/>
    <w:rsid w:val="00D65802"/>
    <w:rsid w:val="00D6606A"/>
    <w:rsid w:val="00D766B2"/>
    <w:rsid w:val="00D76EE6"/>
    <w:rsid w:val="00D83549"/>
    <w:rsid w:val="00D93772"/>
    <w:rsid w:val="00DA23A9"/>
    <w:rsid w:val="00DA3E71"/>
    <w:rsid w:val="00DB2702"/>
    <w:rsid w:val="00DC09A7"/>
    <w:rsid w:val="00DD3BD9"/>
    <w:rsid w:val="00DD6E1D"/>
    <w:rsid w:val="00DE73E6"/>
    <w:rsid w:val="00E22446"/>
    <w:rsid w:val="00E30FF1"/>
    <w:rsid w:val="00E332FF"/>
    <w:rsid w:val="00E33BC6"/>
    <w:rsid w:val="00E35E68"/>
    <w:rsid w:val="00E36AEB"/>
    <w:rsid w:val="00E51BF5"/>
    <w:rsid w:val="00E60C60"/>
    <w:rsid w:val="00E80435"/>
    <w:rsid w:val="00E81D22"/>
    <w:rsid w:val="00E87213"/>
    <w:rsid w:val="00E8737B"/>
    <w:rsid w:val="00E90DFC"/>
    <w:rsid w:val="00E92B99"/>
    <w:rsid w:val="00E97DCA"/>
    <w:rsid w:val="00EA3D8F"/>
    <w:rsid w:val="00EA45F9"/>
    <w:rsid w:val="00EA63F1"/>
    <w:rsid w:val="00EB007B"/>
    <w:rsid w:val="00EB03DF"/>
    <w:rsid w:val="00EB2BE0"/>
    <w:rsid w:val="00EB5AAD"/>
    <w:rsid w:val="00EB60B6"/>
    <w:rsid w:val="00EC0865"/>
    <w:rsid w:val="00ED6785"/>
    <w:rsid w:val="00EE00E2"/>
    <w:rsid w:val="00EE1BF2"/>
    <w:rsid w:val="00EE315D"/>
    <w:rsid w:val="00EE337F"/>
    <w:rsid w:val="00EE4B75"/>
    <w:rsid w:val="00EE5DC6"/>
    <w:rsid w:val="00F027FE"/>
    <w:rsid w:val="00F04439"/>
    <w:rsid w:val="00F134E3"/>
    <w:rsid w:val="00F1659D"/>
    <w:rsid w:val="00F209F2"/>
    <w:rsid w:val="00F21F32"/>
    <w:rsid w:val="00F46688"/>
    <w:rsid w:val="00F477ED"/>
    <w:rsid w:val="00F53D6F"/>
    <w:rsid w:val="00F55CB7"/>
    <w:rsid w:val="00F5738D"/>
    <w:rsid w:val="00F57F4A"/>
    <w:rsid w:val="00F6128F"/>
    <w:rsid w:val="00F65D38"/>
    <w:rsid w:val="00F67179"/>
    <w:rsid w:val="00F7238E"/>
    <w:rsid w:val="00F732C1"/>
    <w:rsid w:val="00F81CB8"/>
    <w:rsid w:val="00F9151B"/>
    <w:rsid w:val="00F95EF7"/>
    <w:rsid w:val="00F9757D"/>
    <w:rsid w:val="00FA1BCD"/>
    <w:rsid w:val="00FA3294"/>
    <w:rsid w:val="00FC3FE8"/>
    <w:rsid w:val="00FC521B"/>
    <w:rsid w:val="00FC7740"/>
    <w:rsid w:val="00FC7A00"/>
    <w:rsid w:val="00FD26CE"/>
    <w:rsid w:val="00FD4428"/>
    <w:rsid w:val="00FD4A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72"/>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D93772"/>
    <w:pPr>
      <w:keepNext/>
      <w:tabs>
        <w:tab w:val="left" w:pos="397"/>
        <w:tab w:val="left" w:pos="709"/>
        <w:tab w:val="right" w:pos="7796"/>
      </w:tabs>
      <w:spacing w:before="240" w:after="60"/>
      <w:jc w:val="center"/>
      <w:outlineLvl w:val="0"/>
    </w:pPr>
    <w:rPr>
      <w:rFonts w:ascii="Times" w:hAnsi="Times"/>
      <w:spacing w:val="32"/>
      <w:kern w:val="28"/>
      <w:sz w:val="32"/>
      <w:szCs w:val="32"/>
      <w:lang w:eastAsia="en-GB"/>
    </w:rPr>
  </w:style>
  <w:style w:type="paragraph" w:styleId="Heading2">
    <w:name w:val="heading 2"/>
    <w:basedOn w:val="Normal"/>
    <w:next w:val="Normal"/>
    <w:link w:val="Heading2Char"/>
    <w:autoRedefine/>
    <w:semiHidden/>
    <w:unhideWhenUsed/>
    <w:qFormat/>
    <w:rsid w:val="00D93772"/>
    <w:pPr>
      <w:keepNext/>
      <w:tabs>
        <w:tab w:val="left" w:pos="397"/>
        <w:tab w:val="left" w:pos="709"/>
        <w:tab w:val="right" w:pos="7796"/>
      </w:tabs>
      <w:jc w:val="center"/>
      <w:outlineLvl w:val="1"/>
    </w:pPr>
    <w:rPr>
      <w:rFonts w:ascii="Times" w:hAnsi="Times"/>
      <w:b/>
      <w:sz w:val="21"/>
      <w:szCs w:val="20"/>
      <w:lang w:eastAsia="en-GB"/>
    </w:rPr>
  </w:style>
  <w:style w:type="paragraph" w:styleId="Heading3">
    <w:name w:val="heading 3"/>
    <w:basedOn w:val="Normal"/>
    <w:next w:val="Normal"/>
    <w:link w:val="Heading3Char"/>
    <w:autoRedefine/>
    <w:semiHidden/>
    <w:unhideWhenUsed/>
    <w:qFormat/>
    <w:rsid w:val="00D93772"/>
    <w:pPr>
      <w:keepNext/>
      <w:tabs>
        <w:tab w:val="left" w:pos="397"/>
        <w:tab w:val="left" w:pos="709"/>
        <w:tab w:val="right" w:pos="7796"/>
      </w:tabs>
      <w:jc w:val="center"/>
      <w:outlineLvl w:val="2"/>
    </w:pPr>
    <w:rPr>
      <w:rFonts w:ascii="Times" w:hAnsi="Times"/>
      <w:sz w:val="21"/>
      <w:szCs w:val="20"/>
      <w:lang w:eastAsia="en-GB"/>
    </w:rPr>
  </w:style>
  <w:style w:type="paragraph" w:styleId="Heading4">
    <w:name w:val="heading 4"/>
    <w:basedOn w:val="Normal"/>
    <w:next w:val="Normal"/>
    <w:link w:val="Heading4Char"/>
    <w:autoRedefine/>
    <w:semiHidden/>
    <w:unhideWhenUsed/>
    <w:qFormat/>
    <w:rsid w:val="00D93772"/>
    <w:pPr>
      <w:keepNext/>
      <w:tabs>
        <w:tab w:val="left" w:pos="397"/>
        <w:tab w:val="left" w:pos="709"/>
        <w:tab w:val="right" w:pos="7796"/>
      </w:tabs>
      <w:jc w:val="center"/>
      <w:outlineLvl w:val="3"/>
    </w:pPr>
    <w:rPr>
      <w:rFonts w:ascii="Times" w:hAnsi="Times"/>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72"/>
    <w:pPr>
      <w:spacing w:before="100" w:beforeAutospacing="1" w:after="100" w:afterAutospacing="1"/>
    </w:pPr>
    <w:rPr>
      <w:lang w:eastAsia="is-IS"/>
    </w:rPr>
  </w:style>
  <w:style w:type="character" w:customStyle="1" w:styleId="apple-converted-space">
    <w:name w:val="apple-converted-space"/>
    <w:basedOn w:val="DefaultParagraphFont"/>
    <w:rsid w:val="00D93772"/>
  </w:style>
  <w:style w:type="character" w:styleId="Hyperlink">
    <w:name w:val="Hyperlink"/>
    <w:basedOn w:val="DefaultParagraphFont"/>
    <w:uiPriority w:val="99"/>
    <w:semiHidden/>
    <w:unhideWhenUsed/>
    <w:rsid w:val="00D93772"/>
    <w:rPr>
      <w:color w:val="0000FF"/>
      <w:u w:val="single"/>
    </w:rPr>
  </w:style>
  <w:style w:type="character" w:styleId="Emphasis">
    <w:name w:val="Emphasis"/>
    <w:basedOn w:val="DefaultParagraphFont"/>
    <w:uiPriority w:val="20"/>
    <w:qFormat/>
    <w:rsid w:val="00D93772"/>
    <w:rPr>
      <w:i/>
      <w:iCs/>
    </w:rPr>
  </w:style>
  <w:style w:type="paragraph" w:styleId="Header">
    <w:name w:val="header"/>
    <w:basedOn w:val="Normal"/>
    <w:link w:val="HeaderChar"/>
    <w:uiPriority w:val="99"/>
    <w:unhideWhenUsed/>
    <w:rsid w:val="00D93772"/>
    <w:pPr>
      <w:tabs>
        <w:tab w:val="center" w:pos="4536"/>
        <w:tab w:val="right" w:pos="9072"/>
      </w:tabs>
    </w:pPr>
    <w:rPr>
      <w:rFonts w:eastAsiaTheme="minorHAnsi" w:cstheme="minorBidi"/>
      <w:sz w:val="22"/>
      <w:szCs w:val="22"/>
    </w:rPr>
  </w:style>
  <w:style w:type="character" w:customStyle="1" w:styleId="HeaderChar">
    <w:name w:val="Header Char"/>
    <w:basedOn w:val="DefaultParagraphFont"/>
    <w:link w:val="Header"/>
    <w:uiPriority w:val="99"/>
    <w:rsid w:val="00D93772"/>
  </w:style>
  <w:style w:type="paragraph" w:styleId="Footer">
    <w:name w:val="footer"/>
    <w:basedOn w:val="Normal"/>
    <w:link w:val="FooterChar"/>
    <w:uiPriority w:val="99"/>
    <w:unhideWhenUsed/>
    <w:rsid w:val="00D93772"/>
    <w:pPr>
      <w:tabs>
        <w:tab w:val="center" w:pos="4536"/>
        <w:tab w:val="right" w:pos="9072"/>
      </w:tabs>
    </w:pPr>
    <w:rPr>
      <w:rFonts w:eastAsiaTheme="minorHAnsi" w:cstheme="minorBidi"/>
      <w:sz w:val="22"/>
      <w:szCs w:val="22"/>
    </w:rPr>
  </w:style>
  <w:style w:type="character" w:customStyle="1" w:styleId="FooterChar">
    <w:name w:val="Footer Char"/>
    <w:basedOn w:val="DefaultParagraphFont"/>
    <w:link w:val="Footer"/>
    <w:uiPriority w:val="99"/>
    <w:rsid w:val="00D93772"/>
  </w:style>
  <w:style w:type="character" w:customStyle="1" w:styleId="Heading1Char">
    <w:name w:val="Heading 1 Char"/>
    <w:basedOn w:val="DefaultParagraphFont"/>
    <w:link w:val="Heading1"/>
    <w:rsid w:val="00D93772"/>
    <w:rPr>
      <w:rFonts w:ascii="Times" w:eastAsia="Times New Roman" w:hAnsi="Times" w:cs="Times New Roman"/>
      <w:spacing w:val="32"/>
      <w:kern w:val="28"/>
      <w:sz w:val="32"/>
      <w:szCs w:val="32"/>
      <w:lang w:eastAsia="en-GB"/>
    </w:rPr>
  </w:style>
  <w:style w:type="character" w:customStyle="1" w:styleId="Heading2Char">
    <w:name w:val="Heading 2 Char"/>
    <w:basedOn w:val="DefaultParagraphFont"/>
    <w:link w:val="Heading2"/>
    <w:semiHidden/>
    <w:rsid w:val="00D93772"/>
    <w:rPr>
      <w:rFonts w:ascii="Times" w:eastAsia="Times New Roman" w:hAnsi="Times" w:cs="Times New Roman"/>
      <w:b/>
      <w:sz w:val="21"/>
      <w:szCs w:val="20"/>
      <w:lang w:eastAsia="en-GB"/>
    </w:rPr>
  </w:style>
  <w:style w:type="character" w:customStyle="1" w:styleId="Heading3Char">
    <w:name w:val="Heading 3 Char"/>
    <w:basedOn w:val="DefaultParagraphFont"/>
    <w:link w:val="Heading3"/>
    <w:semiHidden/>
    <w:rsid w:val="00D93772"/>
    <w:rPr>
      <w:rFonts w:ascii="Times" w:eastAsia="Times New Roman" w:hAnsi="Times" w:cs="Times New Roman"/>
      <w:sz w:val="21"/>
      <w:szCs w:val="20"/>
      <w:lang w:eastAsia="en-GB"/>
    </w:rPr>
  </w:style>
  <w:style w:type="character" w:customStyle="1" w:styleId="Heading4Char">
    <w:name w:val="Heading 4 Char"/>
    <w:basedOn w:val="DefaultParagraphFont"/>
    <w:link w:val="Heading4"/>
    <w:semiHidden/>
    <w:rsid w:val="00D93772"/>
    <w:rPr>
      <w:rFonts w:ascii="Times" w:eastAsia="Times New Roman" w:hAnsi="Times" w:cs="Times New Roman"/>
      <w:bCs/>
      <w:i/>
      <w:sz w:val="21"/>
      <w:szCs w:val="28"/>
      <w:lang w:eastAsia="en-GB"/>
    </w:rPr>
  </w:style>
  <w:style w:type="character" w:styleId="CommentReference">
    <w:name w:val="annotation reference"/>
    <w:basedOn w:val="DefaultParagraphFont"/>
    <w:uiPriority w:val="99"/>
    <w:semiHidden/>
    <w:unhideWhenUsed/>
    <w:rsid w:val="0006658B"/>
    <w:rPr>
      <w:sz w:val="16"/>
      <w:szCs w:val="16"/>
    </w:rPr>
  </w:style>
  <w:style w:type="paragraph" w:styleId="CommentText">
    <w:name w:val="annotation text"/>
    <w:basedOn w:val="Normal"/>
    <w:link w:val="CommentTextChar"/>
    <w:uiPriority w:val="99"/>
    <w:semiHidden/>
    <w:unhideWhenUsed/>
    <w:rsid w:val="0006658B"/>
    <w:rPr>
      <w:sz w:val="20"/>
      <w:szCs w:val="20"/>
    </w:rPr>
  </w:style>
  <w:style w:type="character" w:customStyle="1" w:styleId="CommentTextChar">
    <w:name w:val="Comment Text Char"/>
    <w:basedOn w:val="DefaultParagraphFont"/>
    <w:link w:val="CommentText"/>
    <w:uiPriority w:val="99"/>
    <w:semiHidden/>
    <w:rsid w:val="000665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58B"/>
    <w:rPr>
      <w:b/>
      <w:bCs/>
    </w:rPr>
  </w:style>
  <w:style w:type="character" w:customStyle="1" w:styleId="CommentSubjectChar">
    <w:name w:val="Comment Subject Char"/>
    <w:basedOn w:val="CommentTextChar"/>
    <w:link w:val="CommentSubject"/>
    <w:uiPriority w:val="99"/>
    <w:semiHidden/>
    <w:rsid w:val="0006658B"/>
    <w:rPr>
      <w:rFonts w:eastAsia="Times New Roman" w:cs="Times New Roman"/>
      <w:b/>
      <w:bCs/>
      <w:sz w:val="20"/>
      <w:szCs w:val="20"/>
    </w:rPr>
  </w:style>
  <w:style w:type="paragraph" w:styleId="BalloonText">
    <w:name w:val="Balloon Text"/>
    <w:basedOn w:val="Normal"/>
    <w:link w:val="BalloonTextChar"/>
    <w:uiPriority w:val="99"/>
    <w:semiHidden/>
    <w:unhideWhenUsed/>
    <w:rsid w:val="0006658B"/>
    <w:rPr>
      <w:rFonts w:ascii="Tahoma" w:hAnsi="Tahoma" w:cs="Tahoma"/>
      <w:sz w:val="16"/>
      <w:szCs w:val="16"/>
    </w:rPr>
  </w:style>
  <w:style w:type="character" w:customStyle="1" w:styleId="BalloonTextChar">
    <w:name w:val="Balloon Text Char"/>
    <w:basedOn w:val="DefaultParagraphFont"/>
    <w:link w:val="BalloonText"/>
    <w:uiPriority w:val="99"/>
    <w:semiHidden/>
    <w:rsid w:val="0006658B"/>
    <w:rPr>
      <w:rFonts w:ascii="Tahoma" w:eastAsia="Times New Roman" w:hAnsi="Tahoma" w:cs="Tahoma"/>
      <w:sz w:val="16"/>
      <w:szCs w:val="16"/>
    </w:rPr>
  </w:style>
  <w:style w:type="paragraph" w:styleId="Revision">
    <w:name w:val="Revision"/>
    <w:hidden/>
    <w:uiPriority w:val="99"/>
    <w:semiHidden/>
    <w:rsid w:val="004252F0"/>
    <w:pPr>
      <w:spacing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72"/>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D93772"/>
    <w:pPr>
      <w:keepNext/>
      <w:tabs>
        <w:tab w:val="left" w:pos="397"/>
        <w:tab w:val="left" w:pos="709"/>
        <w:tab w:val="right" w:pos="7796"/>
      </w:tabs>
      <w:spacing w:before="240" w:after="60"/>
      <w:jc w:val="center"/>
      <w:outlineLvl w:val="0"/>
    </w:pPr>
    <w:rPr>
      <w:rFonts w:ascii="Times" w:hAnsi="Times"/>
      <w:spacing w:val="32"/>
      <w:kern w:val="28"/>
      <w:sz w:val="32"/>
      <w:szCs w:val="32"/>
      <w:lang w:eastAsia="en-GB"/>
    </w:rPr>
  </w:style>
  <w:style w:type="paragraph" w:styleId="Heading2">
    <w:name w:val="heading 2"/>
    <w:basedOn w:val="Normal"/>
    <w:next w:val="Normal"/>
    <w:link w:val="Heading2Char"/>
    <w:autoRedefine/>
    <w:semiHidden/>
    <w:unhideWhenUsed/>
    <w:qFormat/>
    <w:rsid w:val="00D93772"/>
    <w:pPr>
      <w:keepNext/>
      <w:tabs>
        <w:tab w:val="left" w:pos="397"/>
        <w:tab w:val="left" w:pos="709"/>
        <w:tab w:val="right" w:pos="7796"/>
      </w:tabs>
      <w:jc w:val="center"/>
      <w:outlineLvl w:val="1"/>
    </w:pPr>
    <w:rPr>
      <w:rFonts w:ascii="Times" w:hAnsi="Times"/>
      <w:b/>
      <w:sz w:val="21"/>
      <w:szCs w:val="20"/>
      <w:lang w:eastAsia="en-GB"/>
    </w:rPr>
  </w:style>
  <w:style w:type="paragraph" w:styleId="Heading3">
    <w:name w:val="heading 3"/>
    <w:basedOn w:val="Normal"/>
    <w:next w:val="Normal"/>
    <w:link w:val="Heading3Char"/>
    <w:autoRedefine/>
    <w:semiHidden/>
    <w:unhideWhenUsed/>
    <w:qFormat/>
    <w:rsid w:val="00D93772"/>
    <w:pPr>
      <w:keepNext/>
      <w:tabs>
        <w:tab w:val="left" w:pos="397"/>
        <w:tab w:val="left" w:pos="709"/>
        <w:tab w:val="right" w:pos="7796"/>
      </w:tabs>
      <w:jc w:val="center"/>
      <w:outlineLvl w:val="2"/>
    </w:pPr>
    <w:rPr>
      <w:rFonts w:ascii="Times" w:hAnsi="Times"/>
      <w:sz w:val="21"/>
      <w:szCs w:val="20"/>
      <w:lang w:eastAsia="en-GB"/>
    </w:rPr>
  </w:style>
  <w:style w:type="paragraph" w:styleId="Heading4">
    <w:name w:val="heading 4"/>
    <w:basedOn w:val="Normal"/>
    <w:next w:val="Normal"/>
    <w:link w:val="Heading4Char"/>
    <w:autoRedefine/>
    <w:semiHidden/>
    <w:unhideWhenUsed/>
    <w:qFormat/>
    <w:rsid w:val="00D93772"/>
    <w:pPr>
      <w:keepNext/>
      <w:tabs>
        <w:tab w:val="left" w:pos="397"/>
        <w:tab w:val="left" w:pos="709"/>
        <w:tab w:val="right" w:pos="7796"/>
      </w:tabs>
      <w:jc w:val="center"/>
      <w:outlineLvl w:val="3"/>
    </w:pPr>
    <w:rPr>
      <w:rFonts w:ascii="Times" w:hAnsi="Times"/>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72"/>
    <w:pPr>
      <w:spacing w:before="100" w:beforeAutospacing="1" w:after="100" w:afterAutospacing="1"/>
    </w:pPr>
    <w:rPr>
      <w:lang w:eastAsia="is-IS"/>
    </w:rPr>
  </w:style>
  <w:style w:type="character" w:customStyle="1" w:styleId="apple-converted-space">
    <w:name w:val="apple-converted-space"/>
    <w:basedOn w:val="DefaultParagraphFont"/>
    <w:rsid w:val="00D93772"/>
  </w:style>
  <w:style w:type="character" w:styleId="Hyperlink">
    <w:name w:val="Hyperlink"/>
    <w:basedOn w:val="DefaultParagraphFont"/>
    <w:uiPriority w:val="99"/>
    <w:semiHidden/>
    <w:unhideWhenUsed/>
    <w:rsid w:val="00D93772"/>
    <w:rPr>
      <w:color w:val="0000FF"/>
      <w:u w:val="single"/>
    </w:rPr>
  </w:style>
  <w:style w:type="character" w:styleId="Emphasis">
    <w:name w:val="Emphasis"/>
    <w:basedOn w:val="DefaultParagraphFont"/>
    <w:uiPriority w:val="20"/>
    <w:qFormat/>
    <w:rsid w:val="00D93772"/>
    <w:rPr>
      <w:i/>
      <w:iCs/>
    </w:rPr>
  </w:style>
  <w:style w:type="paragraph" w:styleId="Header">
    <w:name w:val="header"/>
    <w:basedOn w:val="Normal"/>
    <w:link w:val="HeaderChar"/>
    <w:uiPriority w:val="99"/>
    <w:unhideWhenUsed/>
    <w:rsid w:val="00D93772"/>
    <w:pPr>
      <w:tabs>
        <w:tab w:val="center" w:pos="4536"/>
        <w:tab w:val="right" w:pos="9072"/>
      </w:tabs>
    </w:pPr>
    <w:rPr>
      <w:rFonts w:eastAsiaTheme="minorHAnsi" w:cstheme="minorBidi"/>
      <w:sz w:val="22"/>
      <w:szCs w:val="22"/>
    </w:rPr>
  </w:style>
  <w:style w:type="character" w:customStyle="1" w:styleId="HeaderChar">
    <w:name w:val="Header Char"/>
    <w:basedOn w:val="DefaultParagraphFont"/>
    <w:link w:val="Header"/>
    <w:uiPriority w:val="99"/>
    <w:rsid w:val="00D93772"/>
  </w:style>
  <w:style w:type="paragraph" w:styleId="Footer">
    <w:name w:val="footer"/>
    <w:basedOn w:val="Normal"/>
    <w:link w:val="FooterChar"/>
    <w:uiPriority w:val="99"/>
    <w:unhideWhenUsed/>
    <w:rsid w:val="00D93772"/>
    <w:pPr>
      <w:tabs>
        <w:tab w:val="center" w:pos="4536"/>
        <w:tab w:val="right" w:pos="9072"/>
      </w:tabs>
    </w:pPr>
    <w:rPr>
      <w:rFonts w:eastAsiaTheme="minorHAnsi" w:cstheme="minorBidi"/>
      <w:sz w:val="22"/>
      <w:szCs w:val="22"/>
    </w:rPr>
  </w:style>
  <w:style w:type="character" w:customStyle="1" w:styleId="FooterChar">
    <w:name w:val="Footer Char"/>
    <w:basedOn w:val="DefaultParagraphFont"/>
    <w:link w:val="Footer"/>
    <w:uiPriority w:val="99"/>
    <w:rsid w:val="00D93772"/>
  </w:style>
  <w:style w:type="character" w:customStyle="1" w:styleId="Heading1Char">
    <w:name w:val="Heading 1 Char"/>
    <w:basedOn w:val="DefaultParagraphFont"/>
    <w:link w:val="Heading1"/>
    <w:rsid w:val="00D93772"/>
    <w:rPr>
      <w:rFonts w:ascii="Times" w:eastAsia="Times New Roman" w:hAnsi="Times" w:cs="Times New Roman"/>
      <w:spacing w:val="32"/>
      <w:kern w:val="28"/>
      <w:sz w:val="32"/>
      <w:szCs w:val="32"/>
      <w:lang w:eastAsia="en-GB"/>
    </w:rPr>
  </w:style>
  <w:style w:type="character" w:customStyle="1" w:styleId="Heading2Char">
    <w:name w:val="Heading 2 Char"/>
    <w:basedOn w:val="DefaultParagraphFont"/>
    <w:link w:val="Heading2"/>
    <w:semiHidden/>
    <w:rsid w:val="00D93772"/>
    <w:rPr>
      <w:rFonts w:ascii="Times" w:eastAsia="Times New Roman" w:hAnsi="Times" w:cs="Times New Roman"/>
      <w:b/>
      <w:sz w:val="21"/>
      <w:szCs w:val="20"/>
      <w:lang w:eastAsia="en-GB"/>
    </w:rPr>
  </w:style>
  <w:style w:type="character" w:customStyle="1" w:styleId="Heading3Char">
    <w:name w:val="Heading 3 Char"/>
    <w:basedOn w:val="DefaultParagraphFont"/>
    <w:link w:val="Heading3"/>
    <w:semiHidden/>
    <w:rsid w:val="00D93772"/>
    <w:rPr>
      <w:rFonts w:ascii="Times" w:eastAsia="Times New Roman" w:hAnsi="Times" w:cs="Times New Roman"/>
      <w:sz w:val="21"/>
      <w:szCs w:val="20"/>
      <w:lang w:eastAsia="en-GB"/>
    </w:rPr>
  </w:style>
  <w:style w:type="character" w:customStyle="1" w:styleId="Heading4Char">
    <w:name w:val="Heading 4 Char"/>
    <w:basedOn w:val="DefaultParagraphFont"/>
    <w:link w:val="Heading4"/>
    <w:semiHidden/>
    <w:rsid w:val="00D93772"/>
    <w:rPr>
      <w:rFonts w:ascii="Times" w:eastAsia="Times New Roman" w:hAnsi="Times" w:cs="Times New Roman"/>
      <w:bCs/>
      <w:i/>
      <w:sz w:val="21"/>
      <w:szCs w:val="28"/>
      <w:lang w:eastAsia="en-GB"/>
    </w:rPr>
  </w:style>
  <w:style w:type="character" w:styleId="CommentReference">
    <w:name w:val="annotation reference"/>
    <w:basedOn w:val="DefaultParagraphFont"/>
    <w:uiPriority w:val="99"/>
    <w:semiHidden/>
    <w:unhideWhenUsed/>
    <w:rsid w:val="0006658B"/>
    <w:rPr>
      <w:sz w:val="16"/>
      <w:szCs w:val="16"/>
    </w:rPr>
  </w:style>
  <w:style w:type="paragraph" w:styleId="CommentText">
    <w:name w:val="annotation text"/>
    <w:basedOn w:val="Normal"/>
    <w:link w:val="CommentTextChar"/>
    <w:uiPriority w:val="99"/>
    <w:semiHidden/>
    <w:unhideWhenUsed/>
    <w:rsid w:val="0006658B"/>
    <w:rPr>
      <w:sz w:val="20"/>
      <w:szCs w:val="20"/>
    </w:rPr>
  </w:style>
  <w:style w:type="character" w:customStyle="1" w:styleId="CommentTextChar">
    <w:name w:val="Comment Text Char"/>
    <w:basedOn w:val="DefaultParagraphFont"/>
    <w:link w:val="CommentText"/>
    <w:uiPriority w:val="99"/>
    <w:semiHidden/>
    <w:rsid w:val="000665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58B"/>
    <w:rPr>
      <w:b/>
      <w:bCs/>
    </w:rPr>
  </w:style>
  <w:style w:type="character" w:customStyle="1" w:styleId="CommentSubjectChar">
    <w:name w:val="Comment Subject Char"/>
    <w:basedOn w:val="CommentTextChar"/>
    <w:link w:val="CommentSubject"/>
    <w:uiPriority w:val="99"/>
    <w:semiHidden/>
    <w:rsid w:val="0006658B"/>
    <w:rPr>
      <w:rFonts w:eastAsia="Times New Roman" w:cs="Times New Roman"/>
      <w:b/>
      <w:bCs/>
      <w:sz w:val="20"/>
      <w:szCs w:val="20"/>
    </w:rPr>
  </w:style>
  <w:style w:type="paragraph" w:styleId="BalloonText">
    <w:name w:val="Balloon Text"/>
    <w:basedOn w:val="Normal"/>
    <w:link w:val="BalloonTextChar"/>
    <w:uiPriority w:val="99"/>
    <w:semiHidden/>
    <w:unhideWhenUsed/>
    <w:rsid w:val="0006658B"/>
    <w:rPr>
      <w:rFonts w:ascii="Tahoma" w:hAnsi="Tahoma" w:cs="Tahoma"/>
      <w:sz w:val="16"/>
      <w:szCs w:val="16"/>
    </w:rPr>
  </w:style>
  <w:style w:type="character" w:customStyle="1" w:styleId="BalloonTextChar">
    <w:name w:val="Balloon Text Char"/>
    <w:basedOn w:val="DefaultParagraphFont"/>
    <w:link w:val="BalloonText"/>
    <w:uiPriority w:val="99"/>
    <w:semiHidden/>
    <w:rsid w:val="0006658B"/>
    <w:rPr>
      <w:rFonts w:ascii="Tahoma" w:eastAsia="Times New Roman" w:hAnsi="Tahoma" w:cs="Tahoma"/>
      <w:sz w:val="16"/>
      <w:szCs w:val="16"/>
    </w:rPr>
  </w:style>
  <w:style w:type="paragraph" w:styleId="Revision">
    <w:name w:val="Revision"/>
    <w:hidden/>
    <w:uiPriority w:val="99"/>
    <w:semiHidden/>
    <w:rsid w:val="004252F0"/>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7069">
      <w:bodyDiv w:val="1"/>
      <w:marLeft w:val="0"/>
      <w:marRight w:val="0"/>
      <w:marTop w:val="0"/>
      <w:marBottom w:val="0"/>
      <w:divBdr>
        <w:top w:val="none" w:sz="0" w:space="0" w:color="auto"/>
        <w:left w:val="none" w:sz="0" w:space="0" w:color="auto"/>
        <w:bottom w:val="none" w:sz="0" w:space="0" w:color="auto"/>
        <w:right w:val="none" w:sz="0" w:space="0" w:color="auto"/>
      </w:divBdr>
      <w:divsChild>
        <w:div w:id="1626962330">
          <w:marLeft w:val="0"/>
          <w:marRight w:val="0"/>
          <w:marTop w:val="0"/>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029A-9B91-4A7A-B398-CAAA3F7D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Ásta Sóllilja Sigurbjörnsdóttir</dc:creator>
  <cp:lastModifiedBy>Jóhannes Tómasson</cp:lastModifiedBy>
  <cp:revision>3</cp:revision>
  <dcterms:created xsi:type="dcterms:W3CDTF">2014-10-07T16:07:00Z</dcterms:created>
  <dcterms:modified xsi:type="dcterms:W3CDTF">2014-10-07T16:08:00Z</dcterms:modified>
</cp:coreProperties>
</file>