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BE" w:rsidRDefault="00CC1ABE" w:rsidP="00CC1ABE">
      <w:pPr>
        <w:ind w:left="-284" w:right="-851"/>
        <w:jc w:val="center"/>
        <w:rPr>
          <w:rFonts w:ascii="Times New Roman" w:hAnsi="Times New Roman" w:cs="Times New Roman"/>
          <w:b/>
          <w:sz w:val="24"/>
          <w:szCs w:val="24"/>
          <w:lang w:val="is-I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6"/>
        <w:gridCol w:w="3011"/>
        <w:gridCol w:w="2979"/>
      </w:tblGrid>
      <w:tr w:rsidR="00CC1ABE" w:rsidRPr="00847499" w:rsidTr="00B57B20">
        <w:tc>
          <w:tcPr>
            <w:tcW w:w="3259" w:type="dxa"/>
          </w:tcPr>
          <w:p w:rsidR="00CC1ABE" w:rsidRPr="00847499" w:rsidRDefault="00CC1ABE" w:rsidP="00B57B20">
            <w:pPr>
              <w:autoSpaceDE w:val="0"/>
              <w:spacing w:after="120"/>
              <w:jc w:val="center"/>
              <w:rPr>
                <w:rFonts w:ascii="Times New Roman" w:hAnsi="Times New Roman"/>
                <w:b/>
                <w:bCs/>
                <w:sz w:val="24"/>
                <w:szCs w:val="24"/>
              </w:rPr>
            </w:pPr>
            <w:r w:rsidRPr="00847499">
              <w:rPr>
                <w:rFonts w:ascii="Times New Roman" w:hAnsi="Times New Roman"/>
                <w:b/>
                <w:bCs/>
                <w:noProof/>
                <w:sz w:val="24"/>
                <w:szCs w:val="24"/>
                <w:lang w:val="is-IS" w:eastAsia="is-IS"/>
              </w:rPr>
              <w:drawing>
                <wp:inline distT="0" distB="0" distL="0" distR="0" wp14:anchorId="5EFA84EB" wp14:editId="4BCA1C83">
                  <wp:extent cx="1306800" cy="7488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800" cy="748800"/>
                          </a:xfrm>
                          <a:prstGeom prst="rect">
                            <a:avLst/>
                          </a:prstGeom>
                          <a:noFill/>
                          <a:ln>
                            <a:noFill/>
                          </a:ln>
                        </pic:spPr>
                      </pic:pic>
                    </a:graphicData>
                  </a:graphic>
                </wp:inline>
              </w:drawing>
            </w:r>
          </w:p>
        </w:tc>
        <w:tc>
          <w:tcPr>
            <w:tcW w:w="3259" w:type="dxa"/>
          </w:tcPr>
          <w:p w:rsidR="00CC1ABE" w:rsidRPr="00847499" w:rsidRDefault="00CC1ABE" w:rsidP="00B57B20">
            <w:pPr>
              <w:autoSpaceDE w:val="0"/>
              <w:spacing w:after="120"/>
              <w:jc w:val="center"/>
              <w:rPr>
                <w:rFonts w:ascii="Times New Roman" w:hAnsi="Times New Roman"/>
                <w:b/>
                <w:bCs/>
                <w:sz w:val="24"/>
                <w:szCs w:val="24"/>
              </w:rPr>
            </w:pPr>
            <w:r w:rsidRPr="00847499">
              <w:rPr>
                <w:rFonts w:ascii="Times New Roman" w:hAnsi="Times New Roman"/>
                <w:b/>
                <w:bCs/>
                <w:noProof/>
                <w:sz w:val="24"/>
                <w:szCs w:val="24"/>
                <w:lang w:val="is-IS" w:eastAsia="is-IS"/>
              </w:rPr>
              <w:drawing>
                <wp:inline distT="0" distB="0" distL="0" distR="0" wp14:anchorId="23B4B212" wp14:editId="66202644">
                  <wp:extent cx="1422000" cy="7488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000" cy="748800"/>
                          </a:xfrm>
                          <a:prstGeom prst="rect">
                            <a:avLst/>
                          </a:prstGeom>
                          <a:noFill/>
                          <a:ln>
                            <a:noFill/>
                          </a:ln>
                        </pic:spPr>
                      </pic:pic>
                    </a:graphicData>
                  </a:graphic>
                </wp:inline>
              </w:drawing>
            </w:r>
          </w:p>
        </w:tc>
        <w:tc>
          <w:tcPr>
            <w:tcW w:w="3260" w:type="dxa"/>
          </w:tcPr>
          <w:p w:rsidR="00CC1ABE" w:rsidRPr="00847499" w:rsidRDefault="00CC1ABE" w:rsidP="00B57B20">
            <w:pPr>
              <w:autoSpaceDE w:val="0"/>
              <w:spacing w:after="120"/>
              <w:ind w:left="3"/>
              <w:rPr>
                <w:rFonts w:ascii="Times New Roman" w:hAnsi="Times New Roman"/>
                <w:b/>
                <w:bCs/>
                <w:sz w:val="24"/>
                <w:szCs w:val="24"/>
              </w:rPr>
            </w:pPr>
            <w:r w:rsidRPr="00847499">
              <w:rPr>
                <w:rFonts w:ascii="Times New Roman" w:hAnsi="Times New Roman"/>
                <w:b/>
                <w:bCs/>
                <w:noProof/>
                <w:sz w:val="24"/>
                <w:szCs w:val="24"/>
                <w:lang w:val="is-IS" w:eastAsia="is-IS"/>
              </w:rPr>
              <w:drawing>
                <wp:inline distT="0" distB="0" distL="0" distR="0" wp14:anchorId="7A68F4B6" wp14:editId="2780ED8B">
                  <wp:extent cx="1360800" cy="74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800" cy="748800"/>
                          </a:xfrm>
                          <a:prstGeom prst="rect">
                            <a:avLst/>
                          </a:prstGeom>
                          <a:noFill/>
                          <a:ln>
                            <a:noFill/>
                          </a:ln>
                        </pic:spPr>
                      </pic:pic>
                    </a:graphicData>
                  </a:graphic>
                </wp:inline>
              </w:drawing>
            </w:r>
          </w:p>
        </w:tc>
      </w:tr>
    </w:tbl>
    <w:p w:rsidR="00CC1ABE" w:rsidRDefault="00CC1ABE" w:rsidP="00CC1ABE">
      <w:pPr>
        <w:autoSpaceDE w:val="0"/>
        <w:spacing w:before="120" w:after="120" w:line="240" w:lineRule="auto"/>
        <w:jc w:val="center"/>
        <w:rPr>
          <w:rFonts w:ascii="Times New Roman" w:hAnsi="Times New Roman"/>
          <w:b/>
          <w:bCs/>
          <w:sz w:val="24"/>
          <w:szCs w:val="24"/>
          <w:lang w:val="is-IS"/>
        </w:rPr>
      </w:pPr>
    </w:p>
    <w:p w:rsidR="00CC1ABE" w:rsidRDefault="00CC1ABE" w:rsidP="00CC1ABE">
      <w:pPr>
        <w:autoSpaceDE w:val="0"/>
        <w:spacing w:after="0" w:line="240" w:lineRule="auto"/>
        <w:jc w:val="center"/>
        <w:rPr>
          <w:rFonts w:ascii="Times New Roman" w:hAnsi="Times New Roman"/>
          <w:b/>
          <w:bCs/>
          <w:sz w:val="24"/>
          <w:szCs w:val="24"/>
          <w:lang w:val="is-IS"/>
        </w:rPr>
      </w:pPr>
      <w:bookmarkStart w:id="0" w:name="_GoBack"/>
      <w:bookmarkEnd w:id="0"/>
    </w:p>
    <w:p w:rsidR="00CC1ABE" w:rsidRDefault="00CC1ABE" w:rsidP="00CC1ABE">
      <w:pPr>
        <w:autoSpaceDE w:val="0"/>
        <w:spacing w:after="0" w:line="240" w:lineRule="auto"/>
        <w:jc w:val="center"/>
        <w:rPr>
          <w:rFonts w:ascii="Times New Roman" w:hAnsi="Times New Roman"/>
          <w:b/>
          <w:bCs/>
          <w:sz w:val="24"/>
          <w:szCs w:val="24"/>
          <w:lang w:val="is-IS"/>
        </w:rPr>
      </w:pPr>
      <w:r w:rsidRPr="00181C4C">
        <w:rPr>
          <w:rFonts w:ascii="Times New Roman" w:hAnsi="Times New Roman"/>
          <w:b/>
          <w:bCs/>
          <w:sz w:val="24"/>
          <w:szCs w:val="24"/>
          <w:lang w:val="is-IS"/>
        </w:rPr>
        <w:t xml:space="preserve">Samstarfsyfirlýsing félags- og húsnæðismálaráðherra, innanríkisráðherra og mennta- og menningarmálaráðherra </w:t>
      </w:r>
    </w:p>
    <w:p w:rsidR="00CC1ABE" w:rsidRDefault="00CC1ABE" w:rsidP="00CC1ABE">
      <w:pPr>
        <w:autoSpaceDE w:val="0"/>
        <w:spacing w:after="0" w:line="240" w:lineRule="auto"/>
        <w:jc w:val="center"/>
        <w:rPr>
          <w:rFonts w:ascii="Times New Roman" w:hAnsi="Times New Roman"/>
          <w:b/>
          <w:bCs/>
          <w:sz w:val="24"/>
          <w:szCs w:val="24"/>
          <w:lang w:val="is-IS"/>
        </w:rPr>
      </w:pPr>
      <w:r w:rsidRPr="00181C4C">
        <w:rPr>
          <w:rFonts w:ascii="Times New Roman" w:hAnsi="Times New Roman"/>
          <w:b/>
          <w:bCs/>
          <w:sz w:val="24"/>
          <w:szCs w:val="24"/>
          <w:lang w:val="is-IS"/>
        </w:rPr>
        <w:t>um</w:t>
      </w:r>
      <w:r>
        <w:rPr>
          <w:rFonts w:ascii="Times New Roman" w:hAnsi="Times New Roman"/>
          <w:b/>
          <w:bCs/>
          <w:sz w:val="24"/>
          <w:szCs w:val="24"/>
          <w:lang w:val="is-IS"/>
        </w:rPr>
        <w:t xml:space="preserve"> </w:t>
      </w:r>
      <w:r w:rsidRPr="00181C4C">
        <w:rPr>
          <w:rFonts w:ascii="Times New Roman" w:hAnsi="Times New Roman"/>
          <w:b/>
          <w:bCs/>
          <w:sz w:val="24"/>
          <w:szCs w:val="24"/>
          <w:lang w:val="is-IS"/>
        </w:rPr>
        <w:t>aðgerðir gegn ofbeldi og afleiðingum þess</w:t>
      </w:r>
    </w:p>
    <w:p w:rsidR="00CC1ABE" w:rsidRPr="00DC0074" w:rsidRDefault="00CC1ABE" w:rsidP="00CC1ABE">
      <w:pPr>
        <w:autoSpaceDE w:val="0"/>
        <w:spacing w:before="120" w:after="120" w:line="240" w:lineRule="auto"/>
        <w:jc w:val="center"/>
        <w:rPr>
          <w:rFonts w:ascii="Times New Roman" w:hAnsi="Times New Roman"/>
          <w:b/>
          <w:bCs/>
          <w:sz w:val="24"/>
          <w:szCs w:val="24"/>
          <w:lang w:val="is-IS"/>
        </w:rPr>
      </w:pPr>
    </w:p>
    <w:p w:rsidR="00CC1ABE" w:rsidRPr="00BD1171" w:rsidRDefault="00CC1ABE" w:rsidP="00CC1ABE">
      <w:pPr>
        <w:autoSpaceDE w:val="0"/>
        <w:spacing w:after="240" w:line="240" w:lineRule="auto"/>
        <w:jc w:val="both"/>
        <w:rPr>
          <w:rFonts w:ascii="Times New Roman" w:hAnsi="Times New Roman"/>
          <w:sz w:val="24"/>
          <w:szCs w:val="24"/>
          <w:lang w:val="is-IS"/>
        </w:rPr>
      </w:pPr>
      <w:r w:rsidRPr="00BD1171">
        <w:rPr>
          <w:rFonts w:ascii="Times New Roman" w:hAnsi="Times New Roman"/>
          <w:sz w:val="24"/>
          <w:szCs w:val="24"/>
          <w:lang w:val="is-IS"/>
        </w:rPr>
        <w:t xml:space="preserve">Félags- og húsnæðismálaráðherra, innanríkisráðherra og mennta- og menningarmálaráðherra eru einhuga um að vinna saman gegn ofbeldi í íslensku samfélagi og niðurbrjótandi áhrifum þess, auka fræðslu og forvarnarstarf um ofbeldi, bæta samvinnu og verklag við að draga úr ofbeldi og styrkja samstarf við rannsókn ofbeldismála. </w:t>
      </w:r>
    </w:p>
    <w:p w:rsidR="00CC1ABE" w:rsidRDefault="00CC1ABE" w:rsidP="00CC1ABE">
      <w:pPr>
        <w:autoSpaceDE w:val="0"/>
        <w:spacing w:after="240" w:line="240" w:lineRule="auto"/>
        <w:jc w:val="both"/>
        <w:rPr>
          <w:rFonts w:ascii="Times New Roman" w:hAnsi="Times New Roman"/>
          <w:sz w:val="24"/>
          <w:szCs w:val="24"/>
          <w:lang w:val="is-IS"/>
        </w:rPr>
      </w:pPr>
      <w:r w:rsidRPr="00BD1171">
        <w:rPr>
          <w:rFonts w:ascii="Times New Roman" w:hAnsi="Times New Roman"/>
          <w:sz w:val="24"/>
          <w:szCs w:val="24"/>
          <w:lang w:val="is-IS"/>
        </w:rPr>
        <w:t>Ráðherrarnir eru sammála um að efna til samráðs á landsvísu milli félagsþjónustu, barnaverndaryfirvalda, mennta- og heilbrigðiskerfis, lögreglu og ákæruvalds undir forystu mennta- og menningarmálaráðuneytis, velferðarráðuneytis og innanríkisráðuneytis, í því skyni að efla aðgerðir gegn ofbeldi í íslensku samfélagi. Samstarfinu er einkum ætlað að ná til ofbeldis gegn börnum, ofbeldis í nánum samböndum, kynferðislegs, andlegs og líkamlegs ofbeldis, og ofbeldis gagnvart fötluðu fólki og öðrum berskjölduðum hópum. Til ofbeldis sem yfirlýsing þessi tekur til telst einnig hatursfull orðræða sem hvetur til ofbeldis eða annarrar refsiverðrar háttsemi sem er lítillækkandi eða ógnandi í garð einstaklinga eða hópa fólks, svo sem vegna þjóðernis, kynþáttar, trúar, fötlunar</w:t>
      </w:r>
      <w:r w:rsidR="002D33B8">
        <w:rPr>
          <w:rFonts w:ascii="Times New Roman" w:hAnsi="Times New Roman"/>
          <w:sz w:val="24"/>
          <w:szCs w:val="24"/>
          <w:lang w:val="is-IS"/>
        </w:rPr>
        <w:t>,</w:t>
      </w:r>
      <w:r w:rsidRPr="00BD1171">
        <w:rPr>
          <w:rFonts w:ascii="Times New Roman" w:hAnsi="Times New Roman"/>
          <w:sz w:val="24"/>
          <w:szCs w:val="24"/>
          <w:lang w:val="is-IS"/>
        </w:rPr>
        <w:t xml:space="preserve">  kynhneigðar</w:t>
      </w:r>
      <w:r w:rsidR="002D33B8">
        <w:rPr>
          <w:rFonts w:ascii="Times New Roman" w:hAnsi="Times New Roman"/>
          <w:sz w:val="24"/>
          <w:szCs w:val="24"/>
          <w:lang w:val="is-IS"/>
        </w:rPr>
        <w:t xml:space="preserve"> eða kyns</w:t>
      </w:r>
      <w:r w:rsidRPr="00BD1171">
        <w:rPr>
          <w:rFonts w:ascii="Times New Roman" w:hAnsi="Times New Roman"/>
          <w:sz w:val="24"/>
          <w:szCs w:val="24"/>
          <w:lang w:val="is-IS"/>
        </w:rPr>
        <w:t>.</w:t>
      </w:r>
    </w:p>
    <w:p w:rsidR="002D33B8" w:rsidRDefault="00CC1ABE" w:rsidP="002D33B8">
      <w:pPr>
        <w:autoSpaceDE w:val="0"/>
        <w:spacing w:after="0" w:line="240" w:lineRule="auto"/>
        <w:jc w:val="both"/>
        <w:rPr>
          <w:rFonts w:ascii="Times New Roman" w:hAnsi="Times New Roman"/>
          <w:sz w:val="24"/>
          <w:szCs w:val="24"/>
          <w:lang w:val="is-IS"/>
        </w:rPr>
      </w:pPr>
      <w:r w:rsidRPr="00BD1171">
        <w:rPr>
          <w:rFonts w:ascii="Times New Roman" w:hAnsi="Times New Roman"/>
          <w:sz w:val="24"/>
          <w:szCs w:val="24"/>
          <w:lang w:val="is-IS"/>
        </w:rPr>
        <w:t xml:space="preserve">Meðal annars verður eftirtöldum aðilum boðið til samráðs um þessi mál: </w:t>
      </w:r>
    </w:p>
    <w:p w:rsidR="00CC1ABE" w:rsidRPr="00BD1171" w:rsidRDefault="002D33B8" w:rsidP="00CC1ABE">
      <w:pPr>
        <w:autoSpaceDE w:val="0"/>
        <w:spacing w:after="240" w:line="240" w:lineRule="auto"/>
        <w:jc w:val="both"/>
        <w:rPr>
          <w:rFonts w:ascii="Times New Roman" w:hAnsi="Times New Roman"/>
          <w:sz w:val="24"/>
          <w:szCs w:val="24"/>
          <w:lang w:val="is-IS"/>
        </w:rPr>
      </w:pPr>
      <w:r>
        <w:rPr>
          <w:rFonts w:ascii="Times New Roman" w:hAnsi="Times New Roman" w:cs="Times New Roman"/>
          <w:color w:val="000000"/>
          <w:sz w:val="24"/>
          <w:szCs w:val="24"/>
          <w:lang w:val="is-IS"/>
        </w:rPr>
        <w:t xml:space="preserve">Barnahúsi, Barnaverndarstofu, Fjölmenningarsetri, réttindavakt velferðarráðuneytis, Ríkislögreglustjóra, Ríkissaksóknara, Sambandi íslenskra sveitarfélaga, Umboðsmanni barna og Vitundarvakningu um kynferðislegt, andlegt og líkamlegt ofbeldi gegn börnum. </w:t>
      </w:r>
      <w:r w:rsidR="00CC1ABE">
        <w:rPr>
          <w:rFonts w:ascii="Times New Roman" w:hAnsi="Times New Roman"/>
          <w:sz w:val="24"/>
          <w:szCs w:val="24"/>
          <w:lang w:val="is-IS"/>
        </w:rPr>
        <w:t xml:space="preserve">Enn </w:t>
      </w:r>
      <w:r w:rsidR="00CC1ABE" w:rsidRPr="00BD1171">
        <w:rPr>
          <w:rFonts w:ascii="Times New Roman" w:hAnsi="Times New Roman"/>
          <w:sz w:val="24"/>
          <w:szCs w:val="24"/>
          <w:lang w:val="is-IS"/>
        </w:rPr>
        <w:t>fremur verður leitað til frjálsra félagasamtaka sem koma að velferð þessara hópa.</w:t>
      </w:r>
    </w:p>
    <w:p w:rsidR="00CC1ABE" w:rsidRPr="00BD1171" w:rsidRDefault="00CC1ABE" w:rsidP="00CC1ABE">
      <w:pPr>
        <w:autoSpaceDE w:val="0"/>
        <w:spacing w:after="240" w:line="240" w:lineRule="auto"/>
        <w:jc w:val="both"/>
        <w:rPr>
          <w:rFonts w:ascii="Times New Roman" w:hAnsi="Times New Roman"/>
          <w:sz w:val="24"/>
          <w:szCs w:val="24"/>
          <w:lang w:val="is-IS"/>
        </w:rPr>
      </w:pPr>
      <w:r w:rsidRPr="00BD1171">
        <w:rPr>
          <w:rFonts w:ascii="Times New Roman" w:hAnsi="Times New Roman"/>
          <w:sz w:val="24"/>
          <w:szCs w:val="24"/>
          <w:lang w:val="is-IS"/>
        </w:rPr>
        <w:t xml:space="preserve">Lögð verður áhersla á að bæta verklag og samvinnu allra sem geta tekið þátt í að draga úr ofbeldi, meðal annars með því að auka forvarnir og fræðslu meðal barna, fólks sem vinnur með börnum, hjá réttarvörslukerfinu og meðal almennings. Efla getu og hæfni lögreglu við uppljóstrun ofbeldisbrota svo tryggja megi skjótan og öruggan framgang mála, auka þjálfun og menntun innan réttarvörslukerfisins til þess að taka á ofbeldismálum. Efla getu og hæfni velferðarþjónustunnar til þess að veita þolendum ofbeldis uppbyggilegan stuðning og vernd. Styrkja samstarf lögreglu, mennta- og barnaverndaryfirvalda og félagsþjónustu við rannsóknamál, aðstoða gerendur ofbeldis við að horfast í augu við vanda sinn og takast á við hann svo draga megi úr ofbeldi í samfélaginu. </w:t>
      </w:r>
    </w:p>
    <w:p w:rsidR="00CC1ABE" w:rsidRDefault="00CC1ABE" w:rsidP="00CC1ABE">
      <w:pPr>
        <w:autoSpaceDE w:val="0"/>
        <w:spacing w:after="240" w:line="240" w:lineRule="auto"/>
        <w:jc w:val="both"/>
        <w:rPr>
          <w:rFonts w:ascii="Times New Roman" w:hAnsi="Times New Roman"/>
          <w:sz w:val="24"/>
          <w:szCs w:val="24"/>
          <w:lang w:val="is-IS"/>
        </w:rPr>
      </w:pPr>
    </w:p>
    <w:p w:rsidR="00CC1ABE" w:rsidRDefault="00CC1ABE" w:rsidP="00CC1ABE">
      <w:pPr>
        <w:autoSpaceDE w:val="0"/>
        <w:spacing w:after="240" w:line="240" w:lineRule="auto"/>
        <w:jc w:val="both"/>
        <w:rPr>
          <w:rFonts w:ascii="Times New Roman" w:hAnsi="Times New Roman"/>
          <w:sz w:val="24"/>
          <w:szCs w:val="24"/>
          <w:lang w:val="is-IS"/>
        </w:rPr>
      </w:pPr>
    </w:p>
    <w:p w:rsidR="00CC1ABE" w:rsidRDefault="00CC1ABE" w:rsidP="00CC1ABE">
      <w:pPr>
        <w:autoSpaceDE w:val="0"/>
        <w:spacing w:after="240" w:line="240" w:lineRule="auto"/>
        <w:jc w:val="both"/>
        <w:rPr>
          <w:rFonts w:ascii="Times New Roman" w:hAnsi="Times New Roman"/>
          <w:sz w:val="24"/>
          <w:szCs w:val="24"/>
          <w:lang w:val="is-IS"/>
        </w:rPr>
      </w:pPr>
    </w:p>
    <w:p w:rsidR="00CC1ABE" w:rsidRDefault="00CC1ABE" w:rsidP="00CC1ABE">
      <w:pPr>
        <w:autoSpaceDE w:val="0"/>
        <w:spacing w:after="240" w:line="240" w:lineRule="auto"/>
        <w:jc w:val="both"/>
        <w:rPr>
          <w:rFonts w:ascii="Times New Roman" w:hAnsi="Times New Roman"/>
          <w:sz w:val="24"/>
          <w:szCs w:val="24"/>
          <w:lang w:val="is-IS"/>
        </w:rPr>
      </w:pPr>
    </w:p>
    <w:p w:rsidR="00CC1ABE" w:rsidRDefault="00CC1ABE" w:rsidP="00CC1ABE">
      <w:pPr>
        <w:autoSpaceDE w:val="0"/>
        <w:spacing w:after="240" w:line="240" w:lineRule="auto"/>
        <w:jc w:val="both"/>
        <w:rPr>
          <w:rFonts w:ascii="Times New Roman" w:hAnsi="Times New Roman"/>
          <w:sz w:val="24"/>
          <w:szCs w:val="24"/>
          <w:lang w:val="is-IS"/>
        </w:rPr>
      </w:pPr>
      <w:r w:rsidRPr="00BD1171">
        <w:rPr>
          <w:rFonts w:ascii="Times New Roman" w:hAnsi="Times New Roman"/>
          <w:sz w:val="24"/>
          <w:szCs w:val="24"/>
          <w:lang w:val="is-IS"/>
        </w:rPr>
        <w:lastRenderedPageBreak/>
        <w:t xml:space="preserve">Ráðherrarnir leggja einnig áherslu á að koma á svæðisbundnu samráði, sem meðal annars er ætlað að bæta verklag við fyrirbyggjandi aðgerðir og rannsóknir ofbeldismála með sérstakri áherslu á ofbeldi gegn börnum og fötluðu fólki. Að samstarfinu komi félagsþjónusta, skólastjórnendur, sérfræðiþjónusta sveitarfélaga, barnaverndaryfirvöld, lögreglustjórar og eftir atvikum réttindagæslumenn fatlaðs fólks. </w:t>
      </w:r>
    </w:p>
    <w:p w:rsidR="00CC1ABE" w:rsidRDefault="00CC1ABE" w:rsidP="00CC1ABE">
      <w:pPr>
        <w:autoSpaceDE w:val="0"/>
        <w:spacing w:after="240" w:line="240" w:lineRule="auto"/>
        <w:jc w:val="both"/>
        <w:rPr>
          <w:rFonts w:ascii="Times New Roman" w:hAnsi="Times New Roman"/>
          <w:sz w:val="24"/>
          <w:szCs w:val="24"/>
          <w:lang w:val="is-IS"/>
        </w:rPr>
      </w:pPr>
      <w:r w:rsidRPr="00BD1171">
        <w:rPr>
          <w:rFonts w:ascii="Times New Roman" w:hAnsi="Times New Roman"/>
          <w:sz w:val="24"/>
          <w:szCs w:val="24"/>
          <w:lang w:val="is-IS"/>
        </w:rPr>
        <w:t>Félags- og húsnæðismálaráðherra, mennta- og menningarmálaráðherra,</w:t>
      </w:r>
      <w:r>
        <w:rPr>
          <w:rFonts w:ascii="Times New Roman" w:hAnsi="Times New Roman"/>
          <w:sz w:val="24"/>
          <w:szCs w:val="24"/>
          <w:lang w:val="is-IS"/>
        </w:rPr>
        <w:t xml:space="preserve"> </w:t>
      </w:r>
      <w:r w:rsidRPr="00BD1171">
        <w:rPr>
          <w:rFonts w:ascii="Times New Roman" w:hAnsi="Times New Roman"/>
          <w:sz w:val="24"/>
          <w:szCs w:val="24"/>
          <w:lang w:val="is-IS"/>
        </w:rPr>
        <w:t>og innanríkisráðherra hafa ákveðið að á vettvangi ofangreinds lands</w:t>
      </w:r>
      <w:r>
        <w:rPr>
          <w:rFonts w:ascii="Times New Roman" w:hAnsi="Times New Roman"/>
          <w:sz w:val="24"/>
          <w:szCs w:val="24"/>
          <w:lang w:val="is-IS"/>
        </w:rPr>
        <w:t>samráðs verði undirbúin aðgerða</w:t>
      </w:r>
      <w:r w:rsidRPr="00BD1171">
        <w:rPr>
          <w:rFonts w:ascii="Times New Roman" w:hAnsi="Times New Roman"/>
          <w:sz w:val="24"/>
          <w:szCs w:val="24"/>
          <w:lang w:val="is-IS"/>
        </w:rPr>
        <w:t>áætlun til fjögurra ára gegn ofbeldi í íslensku samfélagi.</w:t>
      </w:r>
    </w:p>
    <w:p w:rsidR="00CC1ABE" w:rsidRPr="00BD1171" w:rsidRDefault="00CC1ABE" w:rsidP="00CC1ABE">
      <w:pPr>
        <w:autoSpaceDE w:val="0"/>
        <w:spacing w:after="240" w:line="240" w:lineRule="auto"/>
        <w:jc w:val="both"/>
        <w:rPr>
          <w:rFonts w:ascii="Times New Roman" w:hAnsi="Times New Roman"/>
          <w:sz w:val="24"/>
          <w:szCs w:val="24"/>
          <w:lang w:val="is-IS"/>
        </w:rPr>
      </w:pPr>
    </w:p>
    <w:p w:rsidR="00CC1ABE" w:rsidRPr="00BD1171" w:rsidRDefault="0002661A" w:rsidP="00CC1ABE">
      <w:pPr>
        <w:ind w:left="360"/>
        <w:jc w:val="center"/>
        <w:rPr>
          <w:rFonts w:ascii="Times New Roman" w:hAnsi="Times New Roman" w:cs="Times New Roman"/>
          <w:i/>
          <w:sz w:val="24"/>
          <w:szCs w:val="24"/>
          <w:lang w:val="is-IS"/>
        </w:rPr>
      </w:pPr>
      <w:r>
        <w:rPr>
          <w:rFonts w:ascii="Times New Roman" w:hAnsi="Times New Roman" w:cs="Times New Roman"/>
          <w:i/>
          <w:sz w:val="24"/>
          <w:szCs w:val="24"/>
          <w:lang w:val="is-IS"/>
        </w:rPr>
        <w:t>18</w:t>
      </w:r>
      <w:r w:rsidR="00CC1ABE" w:rsidRPr="00BD1171">
        <w:rPr>
          <w:rFonts w:ascii="Times New Roman" w:hAnsi="Times New Roman" w:cs="Times New Roman"/>
          <w:i/>
          <w:sz w:val="24"/>
          <w:szCs w:val="24"/>
          <w:lang w:val="is-IS"/>
        </w:rPr>
        <w:t xml:space="preserve">. </w:t>
      </w:r>
      <w:r w:rsidR="00CC1ABE">
        <w:rPr>
          <w:rFonts w:ascii="Times New Roman" w:hAnsi="Times New Roman" w:cs="Times New Roman"/>
          <w:i/>
          <w:sz w:val="24"/>
          <w:szCs w:val="24"/>
          <w:lang w:val="is-IS"/>
        </w:rPr>
        <w:t>desember</w:t>
      </w:r>
      <w:r w:rsidR="00CC1ABE" w:rsidRPr="00BD1171">
        <w:rPr>
          <w:rFonts w:ascii="Times New Roman" w:hAnsi="Times New Roman" w:cs="Times New Roman"/>
          <w:i/>
          <w:sz w:val="24"/>
          <w:szCs w:val="24"/>
          <w:lang w:val="is-IS"/>
        </w:rPr>
        <w:t xml:space="preserve"> 2014</w:t>
      </w:r>
    </w:p>
    <w:p w:rsidR="00CC1ABE" w:rsidRPr="00BD1171" w:rsidRDefault="00CC1ABE" w:rsidP="00CC1ABE">
      <w:pPr>
        <w:jc w:val="center"/>
        <w:rPr>
          <w:rFonts w:ascii="Times New Roman" w:hAnsi="Times New Roman" w:cs="Times New Roman"/>
          <w:b/>
          <w:i/>
          <w:sz w:val="24"/>
          <w:szCs w:val="24"/>
          <w:lang w:val="is-IS"/>
        </w:rPr>
      </w:pPr>
    </w:p>
    <w:p w:rsidR="00CC1ABE" w:rsidRPr="00F877A6" w:rsidRDefault="00CC1ABE" w:rsidP="00CC1ABE">
      <w:pPr>
        <w:spacing w:after="0" w:line="240" w:lineRule="auto"/>
        <w:jc w:val="center"/>
        <w:rPr>
          <w:rFonts w:ascii="Times New Roman" w:hAnsi="Times New Roman" w:cs="Times New Roman"/>
          <w:sz w:val="24"/>
          <w:szCs w:val="24"/>
          <w:lang w:val="is-IS"/>
        </w:rPr>
      </w:pPr>
      <w:r w:rsidRPr="00F877A6">
        <w:rPr>
          <w:rFonts w:ascii="Times New Roman" w:hAnsi="Times New Roman" w:cs="Times New Roman"/>
          <w:sz w:val="24"/>
          <w:szCs w:val="24"/>
          <w:lang w:val="is-IS"/>
        </w:rPr>
        <w:t>_________________</w:t>
      </w:r>
      <w:r>
        <w:rPr>
          <w:rFonts w:ascii="Times New Roman" w:hAnsi="Times New Roman" w:cs="Times New Roman"/>
          <w:sz w:val="24"/>
          <w:szCs w:val="24"/>
          <w:lang w:val="is-IS"/>
        </w:rPr>
        <w:t>________________________</w:t>
      </w:r>
      <w:r w:rsidRPr="00F877A6">
        <w:rPr>
          <w:rFonts w:ascii="Times New Roman" w:hAnsi="Times New Roman" w:cs="Times New Roman"/>
          <w:sz w:val="24"/>
          <w:szCs w:val="24"/>
          <w:lang w:val="is-IS"/>
        </w:rPr>
        <w:br/>
        <w:t>Eygló Harðardóttir, félags- og húsnæðismálaráðherra</w:t>
      </w:r>
    </w:p>
    <w:p w:rsidR="00CC1ABE" w:rsidRPr="00F877A6" w:rsidRDefault="00CC1ABE" w:rsidP="00CC1ABE">
      <w:pPr>
        <w:jc w:val="center"/>
        <w:rPr>
          <w:rFonts w:ascii="Times New Roman" w:hAnsi="Times New Roman" w:cs="Times New Roman"/>
          <w:sz w:val="24"/>
          <w:szCs w:val="24"/>
          <w:lang w:val="is-IS"/>
        </w:rPr>
      </w:pPr>
    </w:p>
    <w:p w:rsidR="00CC1ABE" w:rsidRPr="00F877A6" w:rsidRDefault="00CC1ABE" w:rsidP="00CC1ABE">
      <w:pPr>
        <w:spacing w:after="0" w:line="240" w:lineRule="auto"/>
        <w:jc w:val="center"/>
        <w:rPr>
          <w:rFonts w:ascii="Times New Roman" w:hAnsi="Times New Roman" w:cs="Times New Roman"/>
          <w:sz w:val="24"/>
          <w:szCs w:val="24"/>
          <w:lang w:val="is-IS"/>
        </w:rPr>
      </w:pPr>
      <w:r w:rsidRPr="00F877A6">
        <w:rPr>
          <w:rFonts w:ascii="Times New Roman" w:hAnsi="Times New Roman" w:cs="Times New Roman"/>
          <w:sz w:val="24"/>
          <w:szCs w:val="24"/>
          <w:lang w:val="is-IS"/>
        </w:rPr>
        <w:t>_____</w:t>
      </w:r>
      <w:r>
        <w:rPr>
          <w:rFonts w:ascii="Times New Roman" w:hAnsi="Times New Roman" w:cs="Times New Roman"/>
          <w:sz w:val="24"/>
          <w:szCs w:val="24"/>
          <w:lang w:val="is-IS"/>
        </w:rPr>
        <w:t>________________________________</w:t>
      </w:r>
      <w:r w:rsidRPr="00F877A6">
        <w:rPr>
          <w:rFonts w:ascii="Times New Roman" w:hAnsi="Times New Roman" w:cs="Times New Roman"/>
          <w:sz w:val="24"/>
          <w:szCs w:val="24"/>
          <w:lang w:val="is-IS"/>
        </w:rPr>
        <w:br/>
        <w:t>Illugi Gunnarsson, mennta- og menningarmálaráðherra</w:t>
      </w:r>
    </w:p>
    <w:p w:rsidR="00CC1ABE" w:rsidRPr="00F877A6" w:rsidRDefault="00CC1ABE" w:rsidP="00CC1ABE">
      <w:pPr>
        <w:rPr>
          <w:rFonts w:ascii="Times New Roman" w:hAnsi="Times New Roman" w:cs="Times New Roman"/>
          <w:sz w:val="24"/>
          <w:szCs w:val="24"/>
          <w:lang w:val="is-IS"/>
        </w:rPr>
      </w:pPr>
    </w:p>
    <w:p w:rsidR="00CC1ABE" w:rsidRPr="00F877A6" w:rsidRDefault="00CC1ABE" w:rsidP="00CC1ABE">
      <w:pPr>
        <w:spacing w:after="0" w:line="240" w:lineRule="auto"/>
        <w:jc w:val="center"/>
        <w:rPr>
          <w:rFonts w:ascii="Times New Roman" w:hAnsi="Times New Roman" w:cs="Times New Roman"/>
          <w:sz w:val="24"/>
          <w:szCs w:val="24"/>
          <w:lang w:val="is-IS"/>
        </w:rPr>
      </w:pPr>
      <w:r w:rsidRPr="00F877A6">
        <w:rPr>
          <w:rFonts w:ascii="Times New Roman" w:hAnsi="Times New Roman" w:cs="Times New Roman"/>
          <w:sz w:val="24"/>
          <w:szCs w:val="24"/>
          <w:lang w:val="is-IS"/>
        </w:rPr>
        <w:t>____________</w:t>
      </w:r>
      <w:r>
        <w:rPr>
          <w:rFonts w:ascii="Times New Roman" w:hAnsi="Times New Roman" w:cs="Times New Roman"/>
          <w:sz w:val="24"/>
          <w:szCs w:val="24"/>
          <w:lang w:val="is-IS"/>
        </w:rPr>
        <w:t>______________________________</w:t>
      </w:r>
      <w:r w:rsidRPr="00F877A6">
        <w:rPr>
          <w:rFonts w:ascii="Times New Roman" w:hAnsi="Times New Roman" w:cs="Times New Roman"/>
          <w:sz w:val="24"/>
          <w:szCs w:val="24"/>
          <w:lang w:val="is-IS"/>
        </w:rPr>
        <w:br/>
      </w:r>
      <w:r>
        <w:rPr>
          <w:rFonts w:ascii="Times New Roman" w:hAnsi="Times New Roman" w:cs="Times New Roman"/>
          <w:sz w:val="24"/>
          <w:szCs w:val="24"/>
          <w:lang w:val="is-IS"/>
        </w:rPr>
        <w:t>Ólöf Nordal</w:t>
      </w:r>
      <w:r w:rsidRPr="00F877A6">
        <w:rPr>
          <w:rFonts w:ascii="Times New Roman" w:hAnsi="Times New Roman" w:cs="Times New Roman"/>
          <w:sz w:val="24"/>
          <w:szCs w:val="24"/>
          <w:lang w:val="is-IS"/>
        </w:rPr>
        <w:t>, innanríkisráðherra</w:t>
      </w:r>
    </w:p>
    <w:p w:rsidR="00E20DEE" w:rsidRPr="00CC1ABE" w:rsidRDefault="00E20DEE">
      <w:pPr>
        <w:rPr>
          <w:lang w:val="is-IS"/>
        </w:rPr>
      </w:pPr>
    </w:p>
    <w:sectPr w:rsidR="00E20DEE" w:rsidRPr="00CC1ABE" w:rsidSect="00BD1171">
      <w:headerReference w:type="default" r:id="rId10"/>
      <w:pgSz w:w="11906" w:h="16838"/>
      <w:pgMar w:top="1134" w:right="1588"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19" w:rsidRDefault="00240419">
      <w:pPr>
        <w:spacing w:after="0" w:line="240" w:lineRule="auto"/>
      </w:pPr>
      <w:r>
        <w:separator/>
      </w:r>
    </w:p>
  </w:endnote>
  <w:endnote w:type="continuationSeparator" w:id="0">
    <w:p w:rsidR="00240419" w:rsidRDefault="0024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19" w:rsidRDefault="00240419">
      <w:pPr>
        <w:spacing w:after="0" w:line="240" w:lineRule="auto"/>
      </w:pPr>
      <w:r>
        <w:separator/>
      </w:r>
    </w:p>
  </w:footnote>
  <w:footnote w:type="continuationSeparator" w:id="0">
    <w:p w:rsidR="00240419" w:rsidRDefault="00240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F8E" w:rsidRPr="009E4A8F" w:rsidRDefault="00FA7B0B">
    <w:pPr>
      <w:pStyle w:val="Header"/>
      <w:rPr>
        <w:lang w:val="da-DK"/>
      </w:rPr>
    </w:pPr>
  </w:p>
  <w:p w:rsidR="00337F8E" w:rsidRPr="006D575E" w:rsidRDefault="00FA7B0B">
    <w:pPr>
      <w:pStyle w:val="Header"/>
      <w:rPr>
        <w:lang w:val="is-I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BE"/>
    <w:rsid w:val="0002661A"/>
    <w:rsid w:val="001F4096"/>
    <w:rsid w:val="00240419"/>
    <w:rsid w:val="002624DA"/>
    <w:rsid w:val="002D33B8"/>
    <w:rsid w:val="00525450"/>
    <w:rsid w:val="009B37B3"/>
    <w:rsid w:val="00CC1ABE"/>
    <w:rsid w:val="00E20DEE"/>
    <w:rsid w:val="00FA7B0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B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1ABE"/>
    <w:rPr>
      <w:lang w:val="en-US"/>
    </w:rPr>
  </w:style>
  <w:style w:type="table" w:styleId="TableGrid">
    <w:name w:val="Table Grid"/>
    <w:basedOn w:val="TableNormal"/>
    <w:uiPriority w:val="59"/>
    <w:rsid w:val="00CC1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AB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B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1ABE"/>
    <w:rPr>
      <w:lang w:val="en-US"/>
    </w:rPr>
  </w:style>
  <w:style w:type="table" w:styleId="TableGrid">
    <w:name w:val="Table Grid"/>
    <w:basedOn w:val="TableNormal"/>
    <w:uiPriority w:val="59"/>
    <w:rsid w:val="00CC1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AB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HBR</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Guðríður Bolladóttir</dc:creator>
  <cp:lastModifiedBy>Jóhannes Tómasson</cp:lastModifiedBy>
  <cp:revision>2</cp:revision>
  <dcterms:created xsi:type="dcterms:W3CDTF">2014-12-18T08:11:00Z</dcterms:created>
  <dcterms:modified xsi:type="dcterms:W3CDTF">2014-12-18T08:11:00Z</dcterms:modified>
</cp:coreProperties>
</file>