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5" w:rsidRPr="00A24D33" w:rsidRDefault="00841625" w:rsidP="00841625">
      <w:pPr>
        <w:pStyle w:val="Frumvarp-athugasemdirfyrirsgn"/>
      </w:pPr>
      <w:bookmarkStart w:id="0" w:name="_GoBack"/>
      <w:bookmarkEnd w:id="0"/>
      <w:r w:rsidRPr="00A24D33">
        <w:t>REGLUGERÐ</w:t>
      </w:r>
    </w:p>
    <w:p w:rsidR="00841625" w:rsidRDefault="006911BA" w:rsidP="006911BA">
      <w:pPr>
        <w:pStyle w:val="NoSpacing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um breytingu á reglugerð nr. 680/2004, um vinnu- og hvíldartíma </w:t>
      </w:r>
    </w:p>
    <w:p w:rsidR="006911BA" w:rsidRDefault="006911BA" w:rsidP="006911BA">
      <w:pPr>
        <w:pStyle w:val="NoSpacing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skipverja á farþegaskipum og flutningaskipum, með síðari breytingum.</w:t>
      </w:r>
    </w:p>
    <w:p w:rsidR="006911BA" w:rsidRDefault="006911BA" w:rsidP="006911BA">
      <w:pPr>
        <w:pStyle w:val="NoSpacing"/>
        <w:jc w:val="center"/>
        <w:rPr>
          <w:sz w:val="21"/>
          <w:szCs w:val="21"/>
        </w:rPr>
      </w:pPr>
    </w:p>
    <w:p w:rsidR="00BE5870" w:rsidRDefault="00BE5870" w:rsidP="006911BA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1. gr.</w:t>
      </w:r>
    </w:p>
    <w:p w:rsidR="00BE5870" w:rsidRDefault="00143DC7" w:rsidP="006911BA">
      <w:pPr>
        <w:pStyle w:val="NoSpacing"/>
        <w:jc w:val="center"/>
        <w:rPr>
          <w:sz w:val="21"/>
          <w:szCs w:val="21"/>
        </w:rPr>
      </w:pPr>
      <w:r>
        <w:rPr>
          <w:i/>
          <w:sz w:val="21"/>
          <w:szCs w:val="21"/>
        </w:rPr>
        <w:t>Breyting á reglugerð vegna nýrra samgöngustofnana.</w:t>
      </w:r>
    </w:p>
    <w:p w:rsidR="00143DC7" w:rsidRPr="00143DC7" w:rsidRDefault="00143DC7" w:rsidP="00143DC7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Hvar sem orðin „Siglingastofnun Íslands“ og „Siglingastofnun“, í hvers konar beygingarfalli, koma fyrir í reglugerðinni, skal koma í viðeigandi beygingarfalli orðið „Samgöngustofa“. </w:t>
      </w:r>
    </w:p>
    <w:p w:rsidR="00BE5870" w:rsidRDefault="00BE5870" w:rsidP="006911BA">
      <w:pPr>
        <w:pStyle w:val="NoSpacing"/>
        <w:jc w:val="center"/>
        <w:rPr>
          <w:sz w:val="21"/>
          <w:szCs w:val="21"/>
        </w:rPr>
      </w:pPr>
    </w:p>
    <w:p w:rsidR="006911BA" w:rsidRDefault="00143DC7" w:rsidP="006911BA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2</w:t>
      </w:r>
      <w:r w:rsidR="006911BA">
        <w:rPr>
          <w:sz w:val="21"/>
          <w:szCs w:val="21"/>
        </w:rPr>
        <w:t>. gr.</w:t>
      </w:r>
    </w:p>
    <w:p w:rsidR="006911BA" w:rsidRDefault="006911BA" w:rsidP="006911BA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Eftirfarandi breytingar verða á 2. gr. reglugerðarinnar:</w:t>
      </w:r>
    </w:p>
    <w:p w:rsidR="006911BA" w:rsidRDefault="006911BA" w:rsidP="006911BA">
      <w:pPr>
        <w:pStyle w:val="NoSpacing"/>
        <w:numPr>
          <w:ilvl w:val="0"/>
          <w:numId w:val="2"/>
        </w:num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proofErr w:type="spellStart"/>
      <w:r>
        <w:rPr>
          <w:sz w:val="21"/>
          <w:szCs w:val="21"/>
        </w:rPr>
        <w:t>málsl</w:t>
      </w:r>
      <w:proofErr w:type="spellEnd"/>
      <w:r>
        <w:rPr>
          <w:sz w:val="21"/>
          <w:szCs w:val="21"/>
        </w:rPr>
        <w:t>. 1. mgr. orðast svo:</w:t>
      </w:r>
    </w:p>
    <w:p w:rsidR="006911BA" w:rsidRDefault="006911BA" w:rsidP="006911BA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Samgöngustofa sker </w:t>
      </w:r>
      <w:proofErr w:type="spellStart"/>
      <w:r>
        <w:rPr>
          <w:sz w:val="21"/>
          <w:szCs w:val="21"/>
        </w:rPr>
        <w:t>úr</w:t>
      </w:r>
      <w:proofErr w:type="spellEnd"/>
      <w:r>
        <w:rPr>
          <w:sz w:val="21"/>
          <w:szCs w:val="21"/>
        </w:rPr>
        <w:t xml:space="preserve"> ef ágreiningur er um hvort skip eða tilteknir hópar einstaklinga skuli teljast til </w:t>
      </w:r>
      <w:r w:rsidR="003A1246">
        <w:rPr>
          <w:sz w:val="21"/>
          <w:szCs w:val="21"/>
        </w:rPr>
        <w:t>skipverja</w:t>
      </w:r>
      <w:r>
        <w:rPr>
          <w:sz w:val="21"/>
          <w:szCs w:val="21"/>
        </w:rPr>
        <w:t xml:space="preserve"> að höfðu samráði við samtök útgerða og farmanna sem málið varðar.</w:t>
      </w:r>
    </w:p>
    <w:p w:rsidR="006911BA" w:rsidRDefault="006911BA" w:rsidP="006911BA">
      <w:pPr>
        <w:pStyle w:val="NoSpacing"/>
        <w:numPr>
          <w:ilvl w:val="0"/>
          <w:numId w:val="2"/>
        </w:num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Við 1. mgr. </w:t>
      </w:r>
      <w:proofErr w:type="spellStart"/>
      <w:r>
        <w:rPr>
          <w:sz w:val="21"/>
          <w:szCs w:val="21"/>
        </w:rPr>
        <w:t>bætist</w:t>
      </w:r>
      <w:proofErr w:type="spellEnd"/>
      <w:r>
        <w:rPr>
          <w:sz w:val="21"/>
          <w:szCs w:val="21"/>
        </w:rPr>
        <w:t xml:space="preserve"> nýr málsliður, svohljóðandi:</w:t>
      </w:r>
    </w:p>
    <w:p w:rsidR="006911BA" w:rsidRDefault="006911BA" w:rsidP="00103187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Að því er varðar ágreining um hvort tilteknir hópar einstaklinga skuli teljast til </w:t>
      </w:r>
      <w:r w:rsidR="003A1246">
        <w:rPr>
          <w:sz w:val="21"/>
          <w:szCs w:val="21"/>
        </w:rPr>
        <w:t>skipverja</w:t>
      </w:r>
      <w:r>
        <w:rPr>
          <w:sz w:val="21"/>
          <w:szCs w:val="21"/>
        </w:rPr>
        <w:t xml:space="preserve"> skal taka tilhlýðilegt tillit til ályktunar 94. fundar (um siglingar) Allsherjarþings </w:t>
      </w:r>
      <w:proofErr w:type="spellStart"/>
      <w:r>
        <w:rPr>
          <w:sz w:val="21"/>
          <w:szCs w:val="21"/>
        </w:rPr>
        <w:t>Alþjóðavinnumála</w:t>
      </w:r>
      <w:r w:rsidR="00103187">
        <w:rPr>
          <w:sz w:val="21"/>
          <w:szCs w:val="21"/>
        </w:rPr>
        <w:t>-</w:t>
      </w:r>
      <w:r>
        <w:rPr>
          <w:sz w:val="21"/>
          <w:szCs w:val="21"/>
        </w:rPr>
        <w:t>stofnunarinnar</w:t>
      </w:r>
      <w:proofErr w:type="spellEnd"/>
      <w:r>
        <w:rPr>
          <w:sz w:val="21"/>
          <w:szCs w:val="21"/>
        </w:rPr>
        <w:t xml:space="preserve"> um upplýsingar um starfsgreinahópa.</w:t>
      </w:r>
    </w:p>
    <w:p w:rsidR="003A1246" w:rsidRDefault="003A1246" w:rsidP="006911BA">
      <w:pPr>
        <w:pStyle w:val="NoSpacing"/>
        <w:jc w:val="both"/>
        <w:rPr>
          <w:sz w:val="21"/>
          <w:szCs w:val="21"/>
        </w:rPr>
      </w:pPr>
    </w:p>
    <w:p w:rsidR="003A1246" w:rsidRDefault="00143DC7" w:rsidP="003A1246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3</w:t>
      </w:r>
      <w:r w:rsidR="003A1246">
        <w:rPr>
          <w:sz w:val="21"/>
          <w:szCs w:val="21"/>
        </w:rPr>
        <w:t>. gr.</w:t>
      </w:r>
    </w:p>
    <w:p w:rsidR="003A1246" w:rsidRDefault="003A1246" w:rsidP="003A1246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Eftirfarandi breytingar verða á 3. gr. reglugerðarinnar:</w:t>
      </w:r>
    </w:p>
    <w:p w:rsidR="003A1246" w:rsidRDefault="003A1246" w:rsidP="003A1246">
      <w:pPr>
        <w:pStyle w:val="NoSpacing"/>
        <w:numPr>
          <w:ilvl w:val="0"/>
          <w:numId w:val="4"/>
        </w:numPr>
        <w:ind w:left="284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e-liður</w:t>
      </w:r>
      <w:proofErr w:type="spellEnd"/>
      <w:r>
        <w:rPr>
          <w:sz w:val="21"/>
          <w:szCs w:val="21"/>
        </w:rPr>
        <w:t xml:space="preserve"> orðast svo:</w:t>
      </w:r>
    </w:p>
    <w:p w:rsidR="003A1246" w:rsidRPr="003A1246" w:rsidRDefault="003A1246" w:rsidP="003A1246">
      <w:pPr>
        <w:pStyle w:val="NoSpacing"/>
        <w:ind w:firstLine="284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Skipverji: </w:t>
      </w:r>
      <w:r>
        <w:rPr>
          <w:sz w:val="21"/>
          <w:szCs w:val="21"/>
        </w:rPr>
        <w:t>Sérhver einstaklingur sem ráðinn er til starfa eða vinnur á skipi, sem reglugerð þessi tekur til.</w:t>
      </w:r>
    </w:p>
    <w:p w:rsidR="003A1246" w:rsidRDefault="003A1246" w:rsidP="003A1246">
      <w:pPr>
        <w:pStyle w:val="NoSpacing"/>
        <w:numPr>
          <w:ilvl w:val="0"/>
          <w:numId w:val="4"/>
        </w:numPr>
        <w:ind w:left="284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h-liður</w:t>
      </w:r>
      <w:proofErr w:type="spellEnd"/>
      <w:r>
        <w:rPr>
          <w:sz w:val="21"/>
          <w:szCs w:val="21"/>
        </w:rPr>
        <w:t xml:space="preserve"> orðast svo:</w:t>
      </w:r>
    </w:p>
    <w:p w:rsidR="003A1246" w:rsidRDefault="003A1246" w:rsidP="003A1246">
      <w:pPr>
        <w:pStyle w:val="NoSpacing"/>
        <w:ind w:firstLine="284"/>
        <w:jc w:val="both"/>
        <w:rPr>
          <w:sz w:val="21"/>
          <w:szCs w:val="21"/>
        </w:rPr>
      </w:pPr>
      <w:r>
        <w:rPr>
          <w:i/>
          <w:sz w:val="21"/>
          <w:szCs w:val="21"/>
        </w:rPr>
        <w:t>Útgerðarmaður</w:t>
      </w:r>
      <w:r>
        <w:rPr>
          <w:sz w:val="21"/>
          <w:szCs w:val="21"/>
        </w:rPr>
        <w:t xml:space="preserve">: eigandi skips eða hver </w:t>
      </w:r>
      <w:r w:rsidR="00785869">
        <w:rPr>
          <w:sz w:val="21"/>
          <w:szCs w:val="21"/>
        </w:rPr>
        <w:t>sú stofnun</w:t>
      </w:r>
      <w:r>
        <w:rPr>
          <w:sz w:val="21"/>
          <w:szCs w:val="21"/>
        </w:rPr>
        <w:t xml:space="preserve"> eða einstaklingur, t.d. framkvæmdastjóri, umboðsmaður eða skipamiðlari þurrleiguskipa, sem hefur tekið á sig ábyrgð á rekstri skipsins </w:t>
      </w:r>
      <w:proofErr w:type="spellStart"/>
      <w:r>
        <w:rPr>
          <w:sz w:val="21"/>
          <w:szCs w:val="21"/>
        </w:rPr>
        <w:t>úr</w:t>
      </w:r>
      <w:proofErr w:type="spellEnd"/>
      <w:r>
        <w:rPr>
          <w:sz w:val="21"/>
          <w:szCs w:val="21"/>
        </w:rPr>
        <w:t xml:space="preserve"> höndum eiganda, og sem hefur með því að taka þessa ábyrgð á hendur gengist við öllum skyldum og þeirri ábyrgð sem eru lagðar á skipaeigendur í samræmi við þessa reglugerð, án tillits til þess hvort </w:t>
      </w:r>
      <w:r w:rsidR="00785869">
        <w:rPr>
          <w:sz w:val="21"/>
          <w:szCs w:val="21"/>
        </w:rPr>
        <w:t>einhverjar aðrar</w:t>
      </w:r>
      <w:r>
        <w:rPr>
          <w:sz w:val="21"/>
          <w:szCs w:val="21"/>
        </w:rPr>
        <w:t xml:space="preserve"> </w:t>
      </w:r>
      <w:r w:rsidR="00785869">
        <w:rPr>
          <w:sz w:val="21"/>
          <w:szCs w:val="21"/>
        </w:rPr>
        <w:t>stofnanir</w:t>
      </w:r>
      <w:r>
        <w:rPr>
          <w:sz w:val="21"/>
          <w:szCs w:val="21"/>
        </w:rPr>
        <w:t xml:space="preserve"> eða einstaklingar uppfylla tilteknar skyldur eða ábyrgð fyrir hönd skipaeigandans. </w:t>
      </w:r>
    </w:p>
    <w:p w:rsidR="00785869" w:rsidRDefault="00785869" w:rsidP="00785869">
      <w:pPr>
        <w:pStyle w:val="NoSpacing"/>
        <w:jc w:val="both"/>
        <w:rPr>
          <w:sz w:val="21"/>
          <w:szCs w:val="21"/>
        </w:rPr>
      </w:pPr>
    </w:p>
    <w:p w:rsidR="00785869" w:rsidRDefault="00103187" w:rsidP="00785869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4</w:t>
      </w:r>
      <w:r w:rsidR="00785869">
        <w:rPr>
          <w:sz w:val="21"/>
          <w:szCs w:val="21"/>
        </w:rPr>
        <w:t>. gr.</w:t>
      </w:r>
    </w:p>
    <w:p w:rsidR="00785869" w:rsidRDefault="00785869" w:rsidP="00785869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8. gr. reglugerðarinnar orðast svo:</w:t>
      </w:r>
    </w:p>
    <w:p w:rsidR="00785869" w:rsidRDefault="00785869" w:rsidP="00785869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Næturvinna skipverja undir 18 ára aldri er bönnuð. Að því er varðar þetta ákvæði er „nótt“ tímabil sem varir í a.m.k. níu samfelldar klukkustundur sem hefst eigi síðar en á miðnætti og sem lýkur eigi fyrr en klukkan fimm að morgni.</w:t>
      </w:r>
    </w:p>
    <w:p w:rsidR="00785869" w:rsidRDefault="00785869" w:rsidP="00785869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Samgöngustofa getur veitt heimild frá ákvæðum 1. mgr. þessarar greinar í eftirtöldum tilvikum:</w:t>
      </w:r>
    </w:p>
    <w:p w:rsidR="00785869" w:rsidRDefault="00785869" w:rsidP="00785869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a) þegar slíkt getur truflað árangursríka starfsþjálfun viðkomandi skipverja í samræmi við viðurkennt nám og áætlanir eða</w:t>
      </w:r>
    </w:p>
    <w:p w:rsidR="00785869" w:rsidRDefault="00785869" w:rsidP="00785869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b) þegar sérstakt eðli skyldustarfs eða viðurkenndrar námsáætlunar krefst þess að skipverjar, sem undanþágan á við um, vinni skyldustörf að næturlagi og Samgöngustofa ákvarðar, að höfðu samráði við viðkomandi samtök skipaeigenda og skipverja, að vinnan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ekki skaðleg heilbrigði þeirra eða vellíðan.</w:t>
      </w:r>
    </w:p>
    <w:p w:rsidR="00785869" w:rsidRDefault="00C95E27" w:rsidP="00785869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Ráðning, starf eða vinna farmanna undir 18 ára aldri er </w:t>
      </w:r>
      <w:proofErr w:type="spellStart"/>
      <w:r>
        <w:rPr>
          <w:sz w:val="21"/>
          <w:szCs w:val="21"/>
        </w:rPr>
        <w:t>óheimil</w:t>
      </w:r>
      <w:proofErr w:type="spellEnd"/>
      <w:r>
        <w:rPr>
          <w:sz w:val="21"/>
          <w:szCs w:val="21"/>
        </w:rPr>
        <w:t xml:space="preserve"> ef starfið er líklegt til að stofna heilbrigði þeirra eða öryggi í hættu.</w:t>
      </w:r>
      <w:r w:rsidR="00167E3A">
        <w:rPr>
          <w:sz w:val="21"/>
          <w:szCs w:val="21"/>
        </w:rPr>
        <w:t xml:space="preserve"> Samgöngustofa</w:t>
      </w:r>
      <w:r w:rsidR="00550463">
        <w:rPr>
          <w:sz w:val="21"/>
          <w:szCs w:val="21"/>
        </w:rPr>
        <w:t xml:space="preserve"> skilgreinir</w:t>
      </w:r>
      <w:r w:rsidR="00167E3A">
        <w:rPr>
          <w:sz w:val="21"/>
          <w:szCs w:val="21"/>
        </w:rPr>
        <w:t xml:space="preserve"> hvaða störf eru líkleg til að stofna heilbrigði eða öryggi í hættu að höfðu samráði við viðkomandi samtök útgerða og skipverja, í samræmi við viðeigandi alþjóðlega staðla.</w:t>
      </w:r>
    </w:p>
    <w:p w:rsidR="00FB4AFF" w:rsidRDefault="00FB4AFF" w:rsidP="005E134C">
      <w:pPr>
        <w:pStyle w:val="NoSpacing"/>
        <w:rPr>
          <w:sz w:val="21"/>
          <w:szCs w:val="21"/>
        </w:rPr>
      </w:pPr>
    </w:p>
    <w:p w:rsidR="00103187" w:rsidRDefault="00103187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167E3A" w:rsidRDefault="00103187" w:rsidP="00167E3A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5</w:t>
      </w:r>
      <w:r w:rsidR="00167E3A">
        <w:rPr>
          <w:sz w:val="21"/>
          <w:szCs w:val="21"/>
        </w:rPr>
        <w:t>. gr.</w:t>
      </w:r>
    </w:p>
    <w:p w:rsidR="00FB4AFF" w:rsidRDefault="00FB4AFF" w:rsidP="00167E3A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Eftirfarandi breytingar verða á 12. gr. reglugerðarinnar:</w:t>
      </w:r>
    </w:p>
    <w:p w:rsidR="00167E3A" w:rsidRDefault="00E6437A" w:rsidP="00167E3A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a. </w:t>
      </w:r>
      <w:r w:rsidR="00F53B84">
        <w:rPr>
          <w:sz w:val="21"/>
          <w:szCs w:val="21"/>
        </w:rPr>
        <w:t xml:space="preserve">Við 1. mgr. koma tveir nýjir málsliðir, svohljóðandi: </w:t>
      </w:r>
    </w:p>
    <w:p w:rsidR="00F53B84" w:rsidRDefault="00F53B84" w:rsidP="00167E3A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Undantekningar eru aðeins heimilar í samræmi við reglugerð þessa. </w:t>
      </w:r>
      <w:proofErr w:type="spellStart"/>
      <w:r>
        <w:rPr>
          <w:sz w:val="21"/>
          <w:szCs w:val="21"/>
        </w:rPr>
        <w:t>Óheimilt</w:t>
      </w:r>
      <w:proofErr w:type="spellEnd"/>
      <w:r>
        <w:rPr>
          <w:sz w:val="21"/>
          <w:szCs w:val="21"/>
        </w:rPr>
        <w:t xml:space="preserve"> er að lögskrá skipverja í skiprúm ef læknisvottorð liggur ekki fyrir.</w:t>
      </w:r>
      <w:r w:rsidR="00143DC7">
        <w:rPr>
          <w:sz w:val="21"/>
          <w:szCs w:val="21"/>
        </w:rPr>
        <w:t xml:space="preserve"> </w:t>
      </w:r>
    </w:p>
    <w:p w:rsidR="00FB4AFF" w:rsidRDefault="00FB4AFF" w:rsidP="00FB4AFF">
      <w:pPr>
        <w:pStyle w:val="NoSpacing"/>
        <w:ind w:firstLine="284"/>
        <w:jc w:val="both"/>
        <w:rPr>
          <w:sz w:val="21"/>
          <w:szCs w:val="21"/>
        </w:rPr>
      </w:pPr>
    </w:p>
    <w:p w:rsidR="00FB4AFF" w:rsidRDefault="00E6437A" w:rsidP="00FB4AFF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b.</w:t>
      </w:r>
      <w:r w:rsidR="00FB4AFF">
        <w:rPr>
          <w:sz w:val="21"/>
          <w:szCs w:val="21"/>
        </w:rPr>
        <w:t xml:space="preserve"> Á eftir 4. mgr. koma </w:t>
      </w:r>
      <w:r w:rsidR="00AD0B3E">
        <w:rPr>
          <w:sz w:val="21"/>
          <w:szCs w:val="21"/>
        </w:rPr>
        <w:t>8</w:t>
      </w:r>
      <w:r w:rsidR="00FB4AFF">
        <w:rPr>
          <w:sz w:val="21"/>
          <w:szCs w:val="21"/>
        </w:rPr>
        <w:t>. nýjar málsgreinar, svohljóðandi:</w:t>
      </w:r>
    </w:p>
    <w:p w:rsidR="00FB4AFF" w:rsidRDefault="00FB4AFF" w:rsidP="00FB4AFF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Læknisvottorð sem gefið er </w:t>
      </w:r>
      <w:proofErr w:type="spellStart"/>
      <w:r>
        <w:rPr>
          <w:sz w:val="21"/>
          <w:szCs w:val="21"/>
        </w:rPr>
        <w:t>út</w:t>
      </w:r>
      <w:proofErr w:type="spellEnd"/>
      <w:r>
        <w:rPr>
          <w:sz w:val="21"/>
          <w:szCs w:val="21"/>
        </w:rPr>
        <w:t xml:space="preserve"> í samræmi við ákvæði </w:t>
      </w:r>
      <w:proofErr w:type="spellStart"/>
      <w:r>
        <w:rPr>
          <w:sz w:val="21"/>
          <w:szCs w:val="21"/>
        </w:rPr>
        <w:t>STCW-samþykktarinnar</w:t>
      </w:r>
      <w:proofErr w:type="spellEnd"/>
      <w:r>
        <w:rPr>
          <w:sz w:val="21"/>
          <w:szCs w:val="21"/>
        </w:rPr>
        <w:t xml:space="preserve"> telst fullnægja kröfum 1. mgr. þessarar greinar og skal viðurkennt sem slíkt af Samgöngustofu.</w:t>
      </w:r>
    </w:p>
    <w:p w:rsidR="00A778F3" w:rsidRDefault="00A778F3" w:rsidP="00FB4AFF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Læknisvottorð skv. 1. mgr. þessarar greinar skal gefið </w:t>
      </w:r>
      <w:proofErr w:type="spellStart"/>
      <w:r>
        <w:rPr>
          <w:sz w:val="21"/>
          <w:szCs w:val="21"/>
        </w:rPr>
        <w:t>út</w:t>
      </w:r>
      <w:proofErr w:type="spellEnd"/>
      <w:r>
        <w:rPr>
          <w:sz w:val="21"/>
          <w:szCs w:val="21"/>
        </w:rPr>
        <w:t xml:space="preserve"> á viðeigandi hátt af lækni sem er til þess menntaður og hæfur eða, í því tilviki að einungis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um sjónvottorð að ræða, af einstaklingi sem Samgöngustofa viðurkennir að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hæfur til að gefa </w:t>
      </w:r>
      <w:proofErr w:type="spellStart"/>
      <w:r>
        <w:rPr>
          <w:sz w:val="21"/>
          <w:szCs w:val="21"/>
        </w:rPr>
        <w:t>út</w:t>
      </w:r>
      <w:proofErr w:type="spellEnd"/>
      <w:r>
        <w:rPr>
          <w:sz w:val="21"/>
          <w:szCs w:val="21"/>
        </w:rPr>
        <w:t xml:space="preserve"> slíkt vottorð. </w:t>
      </w:r>
      <w:proofErr w:type="spellStart"/>
      <w:r>
        <w:rPr>
          <w:sz w:val="21"/>
          <w:szCs w:val="21"/>
        </w:rPr>
        <w:t>Læknar</w:t>
      </w:r>
      <w:proofErr w:type="spellEnd"/>
      <w:r>
        <w:rPr>
          <w:sz w:val="21"/>
          <w:szCs w:val="21"/>
        </w:rPr>
        <w:t xml:space="preserve"> </w:t>
      </w:r>
      <w:r w:rsidR="00103187">
        <w:rPr>
          <w:sz w:val="21"/>
          <w:szCs w:val="21"/>
        </w:rPr>
        <w:t>skulu</w:t>
      </w:r>
      <w:r>
        <w:rPr>
          <w:sz w:val="21"/>
          <w:szCs w:val="21"/>
        </w:rPr>
        <w:t xml:space="preserve"> vera sjálfstæðir faglega og beita læknisfræðilegri dómgreind sinni við læknisskoðun.</w:t>
      </w:r>
    </w:p>
    <w:p w:rsidR="00A778F3" w:rsidRDefault="00A778F3" w:rsidP="00FB4AFF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Skipverja sem hefur verið neitað um vottorð eða hafa sætt því að hæfni þeirra til vinnu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háð takmörkunum, einkum hvað snertir tíma, starfssvið eða farsvip, skal gefið tækifæri til að sæta annarri læknisskoðun af hálfu annars, sjálfstæðs læknis eða af hálfu sjálfstæðs, læknisfræðilegs úrskurðaraðila. </w:t>
      </w:r>
    </w:p>
    <w:p w:rsidR="00A778F3" w:rsidRDefault="00A778F3" w:rsidP="00FB4AFF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Í hverju læknisvottorði skal einkum tilgreina:</w:t>
      </w:r>
    </w:p>
    <w:p w:rsidR="00A778F3" w:rsidRDefault="00A778F3" w:rsidP="00A778F3">
      <w:pPr>
        <w:pStyle w:val="NoSpacing"/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að heyrn og sjón skipverja sem í hlut á og litskyggni, ef skipverjinn á að gegn stöðu þar sem það kann að hafa áhrif á hæfni hans til starfsins sem hann á aðvinna að litskyggni hans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ábótavant, séu algjörlega fullnægjandi, og</w:t>
      </w:r>
    </w:p>
    <w:p w:rsidR="00A778F3" w:rsidRDefault="00A778F3" w:rsidP="00A778F3">
      <w:pPr>
        <w:pStyle w:val="NoSpacing"/>
        <w:numPr>
          <w:ilvl w:val="0"/>
          <w:numId w:val="5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að farmaðurinn sem í hlut á þjáist ekki af neinum sjúkdómi sem líkur eru til að versni við það að starfa á </w:t>
      </w:r>
      <w:proofErr w:type="spellStart"/>
      <w:r>
        <w:rPr>
          <w:sz w:val="21"/>
          <w:szCs w:val="21"/>
        </w:rPr>
        <w:t>sjó</w:t>
      </w:r>
      <w:proofErr w:type="spellEnd"/>
      <w:r>
        <w:rPr>
          <w:sz w:val="21"/>
          <w:szCs w:val="21"/>
        </w:rPr>
        <w:t xml:space="preserve"> eða valdi því að skipverjinn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óhæfur til slíkra starfa eða að hann stofni heilsu annarra einstaklinga um borð í hættu.</w:t>
      </w:r>
    </w:p>
    <w:p w:rsidR="00A778F3" w:rsidRDefault="00A778F3" w:rsidP="00A778F3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Ef styttra tímabils er ekki </w:t>
      </w:r>
      <w:proofErr w:type="spellStart"/>
      <w:r>
        <w:rPr>
          <w:sz w:val="21"/>
          <w:szCs w:val="21"/>
        </w:rPr>
        <w:t>krafist</w:t>
      </w:r>
      <w:proofErr w:type="spellEnd"/>
      <w:r>
        <w:rPr>
          <w:sz w:val="21"/>
          <w:szCs w:val="21"/>
        </w:rPr>
        <w:t xml:space="preserve"> sökum sérstakra skyldustarfa sem skipverja, sem í hlut á, ber að inna af hendi eða þess er </w:t>
      </w:r>
      <w:proofErr w:type="spellStart"/>
      <w:r>
        <w:rPr>
          <w:sz w:val="21"/>
          <w:szCs w:val="21"/>
        </w:rPr>
        <w:t>krafist</w:t>
      </w:r>
      <w:proofErr w:type="spellEnd"/>
      <w:r>
        <w:rPr>
          <w:sz w:val="21"/>
          <w:szCs w:val="21"/>
        </w:rPr>
        <w:t xml:space="preserve"> skv. </w:t>
      </w:r>
      <w:proofErr w:type="spellStart"/>
      <w:r>
        <w:rPr>
          <w:sz w:val="21"/>
          <w:szCs w:val="21"/>
        </w:rPr>
        <w:t>STCW-samþykktinni</w:t>
      </w:r>
      <w:proofErr w:type="spellEnd"/>
      <w:r>
        <w:rPr>
          <w:sz w:val="21"/>
          <w:szCs w:val="21"/>
        </w:rPr>
        <w:t>:</w:t>
      </w:r>
    </w:p>
    <w:p w:rsidR="00A778F3" w:rsidRDefault="00A778F3" w:rsidP="00A778F3">
      <w:pPr>
        <w:pStyle w:val="NoSpacing"/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skal læknisvottorð gilda að hámarki í tvö ár nema skipverjinn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undir 18 ára aldri, en þá skal gildistíminn vera eitt ár,</w:t>
      </w:r>
    </w:p>
    <w:p w:rsidR="00A778F3" w:rsidRDefault="00A778F3" w:rsidP="00A778F3">
      <w:pPr>
        <w:pStyle w:val="NoSpacing"/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>vottorð um litskyggni skal að hámarki gilda í sex ár.</w:t>
      </w:r>
    </w:p>
    <w:p w:rsidR="00A778F3" w:rsidRDefault="005E134C" w:rsidP="00A778F3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Í aðkallandi tilvikum má Samgöngustofa heimila skipverja að starfa án gilds læknisvottorðs þar til komið er í næstu viðkomuhöfn þar sem skipverjinn getur útvegað sér læknisvottorð </w:t>
      </w:r>
      <w:proofErr w:type="spellStart"/>
      <w:r>
        <w:rPr>
          <w:sz w:val="21"/>
          <w:szCs w:val="21"/>
        </w:rPr>
        <w:t>hjá</w:t>
      </w:r>
      <w:proofErr w:type="spellEnd"/>
      <w:r>
        <w:rPr>
          <w:sz w:val="21"/>
          <w:szCs w:val="21"/>
        </w:rPr>
        <w:t xml:space="preserve"> lækni sem er til þess menntaður og hæfur, að því tilskildu að:</w:t>
      </w:r>
    </w:p>
    <w:p w:rsidR="005E134C" w:rsidRDefault="005E134C" w:rsidP="005E134C">
      <w:pPr>
        <w:pStyle w:val="NoSpacing"/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slík heimild gildi ekki lengur en </w:t>
      </w:r>
      <w:proofErr w:type="spellStart"/>
      <w:r>
        <w:rPr>
          <w:sz w:val="21"/>
          <w:szCs w:val="21"/>
        </w:rPr>
        <w:t>þrjá</w:t>
      </w:r>
      <w:proofErr w:type="spellEnd"/>
      <w:r>
        <w:rPr>
          <w:sz w:val="21"/>
          <w:szCs w:val="21"/>
        </w:rPr>
        <w:t xml:space="preserve"> mánuði og</w:t>
      </w:r>
    </w:p>
    <w:p w:rsidR="005E134C" w:rsidRDefault="005E134C" w:rsidP="005E134C">
      <w:pPr>
        <w:pStyle w:val="NoSpacing"/>
        <w:numPr>
          <w:ilvl w:val="0"/>
          <w:numId w:val="7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skipverjinn sem í hlut á, </w:t>
      </w:r>
      <w:proofErr w:type="spellStart"/>
      <w:r>
        <w:rPr>
          <w:sz w:val="21"/>
          <w:szCs w:val="21"/>
        </w:rPr>
        <w:t>sé</w:t>
      </w:r>
      <w:proofErr w:type="spellEnd"/>
      <w:r>
        <w:rPr>
          <w:sz w:val="21"/>
          <w:szCs w:val="21"/>
        </w:rPr>
        <w:t xml:space="preserve"> handhafi læknisvottorðs sem er </w:t>
      </w:r>
      <w:proofErr w:type="spellStart"/>
      <w:r>
        <w:rPr>
          <w:sz w:val="21"/>
          <w:szCs w:val="21"/>
        </w:rPr>
        <w:t>nýlega</w:t>
      </w:r>
      <w:proofErr w:type="spellEnd"/>
      <w:r>
        <w:rPr>
          <w:sz w:val="21"/>
          <w:szCs w:val="21"/>
        </w:rPr>
        <w:t xml:space="preserve"> útrunnið.</w:t>
      </w:r>
    </w:p>
    <w:p w:rsidR="005E134C" w:rsidRDefault="005E134C" w:rsidP="005E134C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Ef gildistími vottorðs rennur </w:t>
      </w:r>
      <w:proofErr w:type="spellStart"/>
      <w:r>
        <w:rPr>
          <w:sz w:val="21"/>
          <w:szCs w:val="21"/>
        </w:rPr>
        <w:t>út</w:t>
      </w:r>
      <w:proofErr w:type="spellEnd"/>
      <w:r>
        <w:rPr>
          <w:sz w:val="21"/>
          <w:szCs w:val="21"/>
        </w:rPr>
        <w:t xml:space="preserve"> meðan á sjóferð stendur skal vottorðið halda gildi </w:t>
      </w:r>
      <w:proofErr w:type="spellStart"/>
      <w:r>
        <w:rPr>
          <w:sz w:val="21"/>
          <w:szCs w:val="21"/>
        </w:rPr>
        <w:t>sínu</w:t>
      </w:r>
      <w:proofErr w:type="spellEnd"/>
      <w:r>
        <w:rPr>
          <w:sz w:val="21"/>
          <w:szCs w:val="21"/>
        </w:rPr>
        <w:t xml:space="preserve"> þar til komið er í næstu viðkomuhöfn þar sem farmaðurinn getur útvegað sér læknisvottorð </w:t>
      </w:r>
      <w:proofErr w:type="spellStart"/>
      <w:r>
        <w:rPr>
          <w:sz w:val="21"/>
          <w:szCs w:val="21"/>
        </w:rPr>
        <w:t>hjá</w:t>
      </w:r>
      <w:proofErr w:type="spellEnd"/>
      <w:r>
        <w:rPr>
          <w:sz w:val="21"/>
          <w:szCs w:val="21"/>
        </w:rPr>
        <w:t xml:space="preserve"> lækni sem er til þess menntaður og hæfur að því tilskildu að tímabilið vari ekki lengur en </w:t>
      </w:r>
      <w:proofErr w:type="spellStart"/>
      <w:r>
        <w:rPr>
          <w:sz w:val="21"/>
          <w:szCs w:val="21"/>
        </w:rPr>
        <w:t>þrjá</w:t>
      </w:r>
      <w:proofErr w:type="spellEnd"/>
      <w:r>
        <w:rPr>
          <w:sz w:val="21"/>
          <w:szCs w:val="21"/>
        </w:rPr>
        <w:t xml:space="preserve"> mánuði.</w:t>
      </w:r>
    </w:p>
    <w:p w:rsidR="005E134C" w:rsidRDefault="005E134C" w:rsidP="005E134C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Læknisvottorð skipverja, sem tarfa um borð í skipum sem eru venjulega í millilandasiglingum, skal a.m.k. vera á ensku.</w:t>
      </w:r>
    </w:p>
    <w:p w:rsidR="00FB4AFF" w:rsidRDefault="00FB4AFF" w:rsidP="005E134C">
      <w:pPr>
        <w:pStyle w:val="NoSpacing"/>
        <w:rPr>
          <w:sz w:val="21"/>
          <w:szCs w:val="21"/>
        </w:rPr>
      </w:pPr>
    </w:p>
    <w:p w:rsidR="003E77CC" w:rsidRDefault="003E77CC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A531AD" w:rsidRDefault="00A531AD" w:rsidP="00A531AD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6. gr.</w:t>
      </w:r>
    </w:p>
    <w:p w:rsidR="00A531AD" w:rsidRDefault="00A531AD" w:rsidP="00A531AD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Við 17. gr. reglugerðarinnar kemur nýr málsgrein, svohljóðandi:</w:t>
      </w:r>
    </w:p>
    <w:p w:rsidR="00A531AD" w:rsidRDefault="00A531AD" w:rsidP="00A531AD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Með reglugerð þessari eru innleidd ákvæði tilskipunar Evrópuþingsins og ráðsins 2009/13/EB frá 16. febrúar 2009 um framkvæmd samnings sem Samtök skipaeigenda í Evrópubandalaginu (ECSA) og Samband flutningaverkamanna í Evrópu (ETF) hafa gert með sér um samþykktina um vinnuskilyrði farmanna, 2006, og um breytingu á tilskipun 1999/63/EB, sem birtist í </w:t>
      </w:r>
      <w:proofErr w:type="spellStart"/>
      <w:r>
        <w:rPr>
          <w:sz w:val="21"/>
          <w:szCs w:val="21"/>
        </w:rPr>
        <w:t>EES-viðbæti</w:t>
      </w:r>
      <w:proofErr w:type="spellEnd"/>
      <w:r>
        <w:rPr>
          <w:sz w:val="21"/>
          <w:szCs w:val="21"/>
        </w:rPr>
        <w:t xml:space="preserve"> við Stjórnartíðindi Evrópusambandsins 40/2011, bls. 44-64. </w:t>
      </w:r>
    </w:p>
    <w:p w:rsidR="00A531AD" w:rsidRDefault="00A531AD" w:rsidP="00A531AD">
      <w:pPr>
        <w:pStyle w:val="NoSpacing"/>
        <w:jc w:val="both"/>
        <w:rPr>
          <w:sz w:val="21"/>
          <w:szCs w:val="21"/>
        </w:rPr>
      </w:pPr>
    </w:p>
    <w:p w:rsidR="009056E8" w:rsidRDefault="009056E8" w:rsidP="00A531AD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7. gr.</w:t>
      </w:r>
    </w:p>
    <w:p w:rsidR="009056E8" w:rsidRDefault="009056E8" w:rsidP="009056E8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Við reglugerðina </w:t>
      </w:r>
      <w:proofErr w:type="spellStart"/>
      <w:r>
        <w:rPr>
          <w:sz w:val="21"/>
          <w:szCs w:val="21"/>
        </w:rPr>
        <w:t>bætist</w:t>
      </w:r>
      <w:proofErr w:type="spellEnd"/>
      <w:r>
        <w:rPr>
          <w:sz w:val="21"/>
          <w:szCs w:val="21"/>
        </w:rPr>
        <w:t xml:space="preserve"> nýr viðauki, III. viðauki, svohljóðandi:</w:t>
      </w:r>
    </w:p>
    <w:p w:rsidR="009056E8" w:rsidRDefault="009056E8" w:rsidP="009056E8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Samningur sem Samtök skipaeigenda í Evrópubandalaginu og Samband félaga flutningaverkamanna í Evrópu hafa gert með sér um samþykktina um vinnuskilyrði farmanna er birtur í </w:t>
      </w:r>
      <w:proofErr w:type="spellStart"/>
      <w:r>
        <w:rPr>
          <w:sz w:val="21"/>
          <w:szCs w:val="21"/>
        </w:rPr>
        <w:t>EES-viðbæti</w:t>
      </w:r>
      <w:proofErr w:type="spellEnd"/>
      <w:r>
        <w:rPr>
          <w:sz w:val="21"/>
          <w:szCs w:val="21"/>
        </w:rPr>
        <w:t xml:space="preserve"> við Stjórnartíðindi Evrópusambandsins nr. 40, bls. 49-64.</w:t>
      </w:r>
    </w:p>
    <w:p w:rsidR="009056E8" w:rsidRDefault="009056E8" w:rsidP="00A531AD">
      <w:pPr>
        <w:pStyle w:val="NoSpacing"/>
        <w:jc w:val="center"/>
        <w:rPr>
          <w:sz w:val="21"/>
          <w:szCs w:val="21"/>
        </w:rPr>
      </w:pPr>
    </w:p>
    <w:p w:rsidR="00A531AD" w:rsidRDefault="009056E8" w:rsidP="00A531AD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8</w:t>
      </w:r>
      <w:r w:rsidR="00A531AD">
        <w:rPr>
          <w:sz w:val="21"/>
          <w:szCs w:val="21"/>
        </w:rPr>
        <w:t>. gr.</w:t>
      </w:r>
    </w:p>
    <w:p w:rsidR="00A531AD" w:rsidRDefault="00A531AD" w:rsidP="00A531AD">
      <w:pPr>
        <w:pStyle w:val="NoSpacing"/>
        <w:jc w:val="center"/>
        <w:rPr>
          <w:sz w:val="21"/>
          <w:szCs w:val="21"/>
        </w:rPr>
      </w:pPr>
      <w:r>
        <w:rPr>
          <w:i/>
          <w:sz w:val="21"/>
          <w:szCs w:val="21"/>
        </w:rPr>
        <w:t>Lagastoð og gildistaka.</w:t>
      </w:r>
    </w:p>
    <w:p w:rsidR="00A531AD" w:rsidRPr="00A531AD" w:rsidRDefault="00A531AD" w:rsidP="00A531AD">
      <w:pPr>
        <w:pStyle w:val="NoSpacing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Reglugerð þessi er sett samkvæmt 4. mgr. 7. gr. og 17. gr. laga nr. 76/2001, um áhafnir íslenskra farþegaskipa og flutningaskipa, með síðari breytingum, og 8. gr. sjómannalaga nr. 35/1985, með síðari breytingum, og </w:t>
      </w:r>
      <w:proofErr w:type="spellStart"/>
      <w:r>
        <w:rPr>
          <w:sz w:val="21"/>
          <w:szCs w:val="21"/>
        </w:rPr>
        <w:t>öðlast</w:t>
      </w:r>
      <w:proofErr w:type="spellEnd"/>
      <w:r>
        <w:rPr>
          <w:sz w:val="21"/>
          <w:szCs w:val="21"/>
        </w:rPr>
        <w:t xml:space="preserve"> þegar gildi.</w:t>
      </w:r>
    </w:p>
    <w:p w:rsidR="00A531AD" w:rsidRDefault="00A531AD" w:rsidP="00A531AD">
      <w:pPr>
        <w:pStyle w:val="NoSpacing"/>
        <w:jc w:val="center"/>
        <w:rPr>
          <w:sz w:val="21"/>
          <w:szCs w:val="21"/>
        </w:rPr>
      </w:pPr>
    </w:p>
    <w:p w:rsidR="00167E3A" w:rsidRDefault="00CA7AB4" w:rsidP="00CA7AB4">
      <w:pPr>
        <w:pStyle w:val="NoSpacing"/>
        <w:jc w:val="center"/>
        <w:rPr>
          <w:sz w:val="21"/>
          <w:szCs w:val="21"/>
        </w:rPr>
      </w:pPr>
      <w:r>
        <w:rPr>
          <w:i/>
          <w:sz w:val="21"/>
          <w:szCs w:val="21"/>
        </w:rPr>
        <w:t>Innanríkisráðuneytinu, 2015</w:t>
      </w:r>
    </w:p>
    <w:p w:rsidR="00CA7AB4" w:rsidRDefault="00CA7AB4" w:rsidP="00CA7AB4">
      <w:pPr>
        <w:pStyle w:val="NoSpacing"/>
        <w:jc w:val="center"/>
        <w:rPr>
          <w:sz w:val="21"/>
          <w:szCs w:val="21"/>
        </w:rPr>
      </w:pPr>
    </w:p>
    <w:p w:rsidR="003E77CC" w:rsidRDefault="003E77CC">
      <w:pPr>
        <w:rPr>
          <w:sz w:val="21"/>
          <w:szCs w:val="21"/>
        </w:rPr>
      </w:pPr>
    </w:p>
    <w:p w:rsidR="003E77CC" w:rsidRPr="00CA7AB4" w:rsidRDefault="00A531AD" w:rsidP="003E77CC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sectPr w:rsidR="003E77CC" w:rsidRPr="00CA7AB4" w:rsidSect="00DC4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95" w:right="1758" w:bottom="1361" w:left="16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AD" w:rsidRDefault="00A531AD" w:rsidP="00CA7AB4">
      <w:pPr>
        <w:spacing w:after="0" w:line="240" w:lineRule="auto"/>
      </w:pPr>
      <w:r>
        <w:separator/>
      </w:r>
    </w:p>
  </w:endnote>
  <w:endnote w:type="continuationSeparator" w:id="0">
    <w:p w:rsidR="00A531AD" w:rsidRDefault="00A531AD" w:rsidP="00CA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2A" w:rsidRDefault="00C63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2A" w:rsidRDefault="00C630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2A" w:rsidRDefault="00C63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AD" w:rsidRDefault="00A531AD" w:rsidP="00CA7AB4">
      <w:pPr>
        <w:spacing w:after="0" w:line="240" w:lineRule="auto"/>
      </w:pPr>
      <w:r>
        <w:separator/>
      </w:r>
    </w:p>
  </w:footnote>
  <w:footnote w:type="continuationSeparator" w:id="0">
    <w:p w:rsidR="00A531AD" w:rsidRDefault="00A531AD" w:rsidP="00CA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2A" w:rsidRDefault="00C630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188" o:spid="_x0000_s2050" type="#_x0000_t136" style="position:absolute;margin-left:0;margin-top:0;width:399.65pt;height:19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Ö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2A" w:rsidRDefault="00C630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189" o:spid="_x0000_s2051" type="#_x0000_t136" style="position:absolute;margin-left:0;margin-top:0;width:399.65pt;height:19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Ö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2A" w:rsidRDefault="00C630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4187" o:spid="_x0000_s2049" type="#_x0000_t136" style="position:absolute;margin-left:0;margin-top:0;width:399.65pt;height:19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Ö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01FD"/>
    <w:multiLevelType w:val="hybridMultilevel"/>
    <w:tmpl w:val="E06C2FB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42FC3"/>
    <w:multiLevelType w:val="hybridMultilevel"/>
    <w:tmpl w:val="FB4C5C40"/>
    <w:lvl w:ilvl="0" w:tplc="040F0017">
      <w:start w:val="1"/>
      <w:numFmt w:val="lowerLetter"/>
      <w:lvlText w:val="%1)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15D2038"/>
    <w:multiLevelType w:val="hybridMultilevel"/>
    <w:tmpl w:val="5F9EC90E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32D3F66"/>
    <w:multiLevelType w:val="hybridMultilevel"/>
    <w:tmpl w:val="969A21EA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7D613CC"/>
    <w:multiLevelType w:val="hybridMultilevel"/>
    <w:tmpl w:val="4314C010"/>
    <w:lvl w:ilvl="0" w:tplc="040F0017">
      <w:start w:val="1"/>
      <w:numFmt w:val="lowerLetter"/>
      <w:lvlText w:val="%1)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A485D45"/>
    <w:multiLevelType w:val="hybridMultilevel"/>
    <w:tmpl w:val="1B92050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071DAD"/>
    <w:multiLevelType w:val="hybridMultilevel"/>
    <w:tmpl w:val="7402EFD4"/>
    <w:lvl w:ilvl="0" w:tplc="040F0017">
      <w:start w:val="1"/>
      <w:numFmt w:val="lowerLetter"/>
      <w:lvlText w:val="%1)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A3"/>
    <w:rsid w:val="00020EDC"/>
    <w:rsid w:val="000253AC"/>
    <w:rsid w:val="00030675"/>
    <w:rsid w:val="00040524"/>
    <w:rsid w:val="00042CB5"/>
    <w:rsid w:val="00043199"/>
    <w:rsid w:val="00043453"/>
    <w:rsid w:val="00043ABE"/>
    <w:rsid w:val="00061724"/>
    <w:rsid w:val="00063251"/>
    <w:rsid w:val="00082349"/>
    <w:rsid w:val="00091FE9"/>
    <w:rsid w:val="00095C02"/>
    <w:rsid w:val="000A2FA0"/>
    <w:rsid w:val="000C2CE2"/>
    <w:rsid w:val="000C2DEC"/>
    <w:rsid w:val="000D3E21"/>
    <w:rsid w:val="000D54BB"/>
    <w:rsid w:val="000D7034"/>
    <w:rsid w:val="000E642B"/>
    <w:rsid w:val="000F19CE"/>
    <w:rsid w:val="000F5818"/>
    <w:rsid w:val="001001A0"/>
    <w:rsid w:val="00100820"/>
    <w:rsid w:val="00100831"/>
    <w:rsid w:val="00103187"/>
    <w:rsid w:val="00104E87"/>
    <w:rsid w:val="00106C86"/>
    <w:rsid w:val="001116BA"/>
    <w:rsid w:val="00122682"/>
    <w:rsid w:val="0012537A"/>
    <w:rsid w:val="00126517"/>
    <w:rsid w:val="001269D8"/>
    <w:rsid w:val="00132000"/>
    <w:rsid w:val="00143DC7"/>
    <w:rsid w:val="001474D0"/>
    <w:rsid w:val="00152A37"/>
    <w:rsid w:val="00166E32"/>
    <w:rsid w:val="00167E3A"/>
    <w:rsid w:val="00171195"/>
    <w:rsid w:val="00195940"/>
    <w:rsid w:val="001B2704"/>
    <w:rsid w:val="001B3BB8"/>
    <w:rsid w:val="001B42E3"/>
    <w:rsid w:val="001B488D"/>
    <w:rsid w:val="001B4E7D"/>
    <w:rsid w:val="001D78FB"/>
    <w:rsid w:val="001E3FA7"/>
    <w:rsid w:val="001E581E"/>
    <w:rsid w:val="001F7B31"/>
    <w:rsid w:val="00200B1A"/>
    <w:rsid w:val="00213855"/>
    <w:rsid w:val="00215DB7"/>
    <w:rsid w:val="0022245A"/>
    <w:rsid w:val="00237D4A"/>
    <w:rsid w:val="00241226"/>
    <w:rsid w:val="00242C66"/>
    <w:rsid w:val="002506BF"/>
    <w:rsid w:val="0025310B"/>
    <w:rsid w:val="00255C9A"/>
    <w:rsid w:val="00260806"/>
    <w:rsid w:val="0026082D"/>
    <w:rsid w:val="002721C7"/>
    <w:rsid w:val="00282638"/>
    <w:rsid w:val="00284C53"/>
    <w:rsid w:val="00287F67"/>
    <w:rsid w:val="00297BFB"/>
    <w:rsid w:val="002A338E"/>
    <w:rsid w:val="002A3A5D"/>
    <w:rsid w:val="002B7584"/>
    <w:rsid w:val="002C0960"/>
    <w:rsid w:val="002C1CA3"/>
    <w:rsid w:val="002C373F"/>
    <w:rsid w:val="002C54EC"/>
    <w:rsid w:val="002D6640"/>
    <w:rsid w:val="002D7CFD"/>
    <w:rsid w:val="002E54C6"/>
    <w:rsid w:val="003150BD"/>
    <w:rsid w:val="00322D3A"/>
    <w:rsid w:val="003233AC"/>
    <w:rsid w:val="0032588E"/>
    <w:rsid w:val="003309AD"/>
    <w:rsid w:val="003412D0"/>
    <w:rsid w:val="0034453F"/>
    <w:rsid w:val="00344E36"/>
    <w:rsid w:val="00354356"/>
    <w:rsid w:val="00361C52"/>
    <w:rsid w:val="00366187"/>
    <w:rsid w:val="00372F49"/>
    <w:rsid w:val="003743F7"/>
    <w:rsid w:val="00382DFA"/>
    <w:rsid w:val="00383596"/>
    <w:rsid w:val="003864F5"/>
    <w:rsid w:val="003920EC"/>
    <w:rsid w:val="0039216E"/>
    <w:rsid w:val="003931AC"/>
    <w:rsid w:val="00393236"/>
    <w:rsid w:val="00394CA3"/>
    <w:rsid w:val="00396C4C"/>
    <w:rsid w:val="003A0C28"/>
    <w:rsid w:val="003A1246"/>
    <w:rsid w:val="003A7BC5"/>
    <w:rsid w:val="003B04D3"/>
    <w:rsid w:val="003B2771"/>
    <w:rsid w:val="003C268A"/>
    <w:rsid w:val="003C71D5"/>
    <w:rsid w:val="003D357E"/>
    <w:rsid w:val="003D64E8"/>
    <w:rsid w:val="003E5F31"/>
    <w:rsid w:val="003E77CC"/>
    <w:rsid w:val="003F06C8"/>
    <w:rsid w:val="003F27B3"/>
    <w:rsid w:val="003F2C28"/>
    <w:rsid w:val="00414E25"/>
    <w:rsid w:val="004223ED"/>
    <w:rsid w:val="004237D9"/>
    <w:rsid w:val="004251A4"/>
    <w:rsid w:val="004334D2"/>
    <w:rsid w:val="00442354"/>
    <w:rsid w:val="004469E1"/>
    <w:rsid w:val="00454BE3"/>
    <w:rsid w:val="004552A5"/>
    <w:rsid w:val="00461504"/>
    <w:rsid w:val="004628F8"/>
    <w:rsid w:val="00471946"/>
    <w:rsid w:val="00471B81"/>
    <w:rsid w:val="00474247"/>
    <w:rsid w:val="004751C4"/>
    <w:rsid w:val="004762EA"/>
    <w:rsid w:val="00485632"/>
    <w:rsid w:val="004A0DB6"/>
    <w:rsid w:val="004A1416"/>
    <w:rsid w:val="004A1FEB"/>
    <w:rsid w:val="004A53F3"/>
    <w:rsid w:val="004B3819"/>
    <w:rsid w:val="004B3B57"/>
    <w:rsid w:val="004B767C"/>
    <w:rsid w:val="004C62F2"/>
    <w:rsid w:val="004D103C"/>
    <w:rsid w:val="004F2D2D"/>
    <w:rsid w:val="004F4669"/>
    <w:rsid w:val="00506D09"/>
    <w:rsid w:val="00517E5D"/>
    <w:rsid w:val="00521947"/>
    <w:rsid w:val="00522FB7"/>
    <w:rsid w:val="005230C4"/>
    <w:rsid w:val="005301C6"/>
    <w:rsid w:val="005311C3"/>
    <w:rsid w:val="00533495"/>
    <w:rsid w:val="005414C8"/>
    <w:rsid w:val="0054184D"/>
    <w:rsid w:val="00547FAA"/>
    <w:rsid w:val="00550463"/>
    <w:rsid w:val="00555CF1"/>
    <w:rsid w:val="005623B9"/>
    <w:rsid w:val="00563604"/>
    <w:rsid w:val="00567A99"/>
    <w:rsid w:val="00575A0B"/>
    <w:rsid w:val="00580A9F"/>
    <w:rsid w:val="00590851"/>
    <w:rsid w:val="00592A7A"/>
    <w:rsid w:val="00594411"/>
    <w:rsid w:val="005A36FF"/>
    <w:rsid w:val="005A5B67"/>
    <w:rsid w:val="005B12E3"/>
    <w:rsid w:val="005C45B6"/>
    <w:rsid w:val="005C5CF1"/>
    <w:rsid w:val="005D0B29"/>
    <w:rsid w:val="005E134C"/>
    <w:rsid w:val="005F203F"/>
    <w:rsid w:val="00610605"/>
    <w:rsid w:val="00611F8C"/>
    <w:rsid w:val="006210F9"/>
    <w:rsid w:val="0062189A"/>
    <w:rsid w:val="00623888"/>
    <w:rsid w:val="00647A2E"/>
    <w:rsid w:val="00652F16"/>
    <w:rsid w:val="00663D6E"/>
    <w:rsid w:val="00674C4B"/>
    <w:rsid w:val="00676A65"/>
    <w:rsid w:val="00684637"/>
    <w:rsid w:val="006872DB"/>
    <w:rsid w:val="006911BA"/>
    <w:rsid w:val="00692CD1"/>
    <w:rsid w:val="00697722"/>
    <w:rsid w:val="006A1F76"/>
    <w:rsid w:val="006A4403"/>
    <w:rsid w:val="006A53C4"/>
    <w:rsid w:val="006B0A39"/>
    <w:rsid w:val="006B3B5A"/>
    <w:rsid w:val="006B4F9C"/>
    <w:rsid w:val="006B74A0"/>
    <w:rsid w:val="006B7ABA"/>
    <w:rsid w:val="006C0064"/>
    <w:rsid w:val="006C7FD2"/>
    <w:rsid w:val="006D4D8C"/>
    <w:rsid w:val="006F19D9"/>
    <w:rsid w:val="006F6305"/>
    <w:rsid w:val="00700786"/>
    <w:rsid w:val="00717415"/>
    <w:rsid w:val="00720C0A"/>
    <w:rsid w:val="0072231F"/>
    <w:rsid w:val="00724427"/>
    <w:rsid w:val="007267C0"/>
    <w:rsid w:val="00726C8B"/>
    <w:rsid w:val="0073128A"/>
    <w:rsid w:val="0073178E"/>
    <w:rsid w:val="00733805"/>
    <w:rsid w:val="00734889"/>
    <w:rsid w:val="00735B13"/>
    <w:rsid w:val="00750EB6"/>
    <w:rsid w:val="00752E1E"/>
    <w:rsid w:val="00753B51"/>
    <w:rsid w:val="00771746"/>
    <w:rsid w:val="00785869"/>
    <w:rsid w:val="00785EE6"/>
    <w:rsid w:val="007A4EA9"/>
    <w:rsid w:val="007B0500"/>
    <w:rsid w:val="007B277B"/>
    <w:rsid w:val="007B610E"/>
    <w:rsid w:val="007C3212"/>
    <w:rsid w:val="007C60EA"/>
    <w:rsid w:val="007D5E60"/>
    <w:rsid w:val="007E3CA0"/>
    <w:rsid w:val="007E5B14"/>
    <w:rsid w:val="007F162D"/>
    <w:rsid w:val="007F294E"/>
    <w:rsid w:val="00800DF8"/>
    <w:rsid w:val="00802FE6"/>
    <w:rsid w:val="00803664"/>
    <w:rsid w:val="00824A81"/>
    <w:rsid w:val="00825013"/>
    <w:rsid w:val="00827A4C"/>
    <w:rsid w:val="00831F70"/>
    <w:rsid w:val="00835515"/>
    <w:rsid w:val="00835762"/>
    <w:rsid w:val="00840CD3"/>
    <w:rsid w:val="00841625"/>
    <w:rsid w:val="00847E5E"/>
    <w:rsid w:val="00856B6C"/>
    <w:rsid w:val="0085726F"/>
    <w:rsid w:val="00863E86"/>
    <w:rsid w:val="00870F6E"/>
    <w:rsid w:val="00874CA7"/>
    <w:rsid w:val="008823A4"/>
    <w:rsid w:val="008861DC"/>
    <w:rsid w:val="008A38DD"/>
    <w:rsid w:val="008A66B9"/>
    <w:rsid w:val="008A66E0"/>
    <w:rsid w:val="008C74C6"/>
    <w:rsid w:val="008D183A"/>
    <w:rsid w:val="008D4988"/>
    <w:rsid w:val="008E7FF7"/>
    <w:rsid w:val="008F6FBD"/>
    <w:rsid w:val="009004FA"/>
    <w:rsid w:val="009056E8"/>
    <w:rsid w:val="00906D84"/>
    <w:rsid w:val="00916E0C"/>
    <w:rsid w:val="00917ABF"/>
    <w:rsid w:val="00931087"/>
    <w:rsid w:val="00945DED"/>
    <w:rsid w:val="00953DD4"/>
    <w:rsid w:val="00963307"/>
    <w:rsid w:val="00966FBA"/>
    <w:rsid w:val="00970F59"/>
    <w:rsid w:val="0097332A"/>
    <w:rsid w:val="00977F8D"/>
    <w:rsid w:val="00980111"/>
    <w:rsid w:val="00986DA8"/>
    <w:rsid w:val="0099087C"/>
    <w:rsid w:val="009946A7"/>
    <w:rsid w:val="009A48D1"/>
    <w:rsid w:val="009B7EC5"/>
    <w:rsid w:val="009C6151"/>
    <w:rsid w:val="009D5F4F"/>
    <w:rsid w:val="009E7E38"/>
    <w:rsid w:val="009E7EA3"/>
    <w:rsid w:val="009F12A5"/>
    <w:rsid w:val="009F6E4A"/>
    <w:rsid w:val="00A029F2"/>
    <w:rsid w:val="00A11D48"/>
    <w:rsid w:val="00A14B8F"/>
    <w:rsid w:val="00A36A56"/>
    <w:rsid w:val="00A41813"/>
    <w:rsid w:val="00A4288C"/>
    <w:rsid w:val="00A455CF"/>
    <w:rsid w:val="00A501CF"/>
    <w:rsid w:val="00A50EDA"/>
    <w:rsid w:val="00A51F98"/>
    <w:rsid w:val="00A531AD"/>
    <w:rsid w:val="00A5450C"/>
    <w:rsid w:val="00A62722"/>
    <w:rsid w:val="00A676E4"/>
    <w:rsid w:val="00A778F3"/>
    <w:rsid w:val="00A81E3C"/>
    <w:rsid w:val="00A83DAC"/>
    <w:rsid w:val="00A93AF1"/>
    <w:rsid w:val="00A9527F"/>
    <w:rsid w:val="00A95E68"/>
    <w:rsid w:val="00AA414F"/>
    <w:rsid w:val="00AD0B3E"/>
    <w:rsid w:val="00AF191A"/>
    <w:rsid w:val="00AF3CD5"/>
    <w:rsid w:val="00AF5AAD"/>
    <w:rsid w:val="00AF7972"/>
    <w:rsid w:val="00B036AE"/>
    <w:rsid w:val="00B0402D"/>
    <w:rsid w:val="00B16A9E"/>
    <w:rsid w:val="00B25456"/>
    <w:rsid w:val="00B31AEB"/>
    <w:rsid w:val="00B3331D"/>
    <w:rsid w:val="00B35DA6"/>
    <w:rsid w:val="00B429ED"/>
    <w:rsid w:val="00B47BE7"/>
    <w:rsid w:val="00B5505A"/>
    <w:rsid w:val="00B5782E"/>
    <w:rsid w:val="00B70D8B"/>
    <w:rsid w:val="00B928FD"/>
    <w:rsid w:val="00B96E80"/>
    <w:rsid w:val="00B96F71"/>
    <w:rsid w:val="00BA1C60"/>
    <w:rsid w:val="00BA6E09"/>
    <w:rsid w:val="00BB1AF7"/>
    <w:rsid w:val="00BB5443"/>
    <w:rsid w:val="00BC1326"/>
    <w:rsid w:val="00BD13D6"/>
    <w:rsid w:val="00BD5C14"/>
    <w:rsid w:val="00BD763F"/>
    <w:rsid w:val="00BE4593"/>
    <w:rsid w:val="00BE5870"/>
    <w:rsid w:val="00BF53A5"/>
    <w:rsid w:val="00BF5C20"/>
    <w:rsid w:val="00C0292F"/>
    <w:rsid w:val="00C04DAF"/>
    <w:rsid w:val="00C12BEB"/>
    <w:rsid w:val="00C21E9C"/>
    <w:rsid w:val="00C25330"/>
    <w:rsid w:val="00C338DA"/>
    <w:rsid w:val="00C36C10"/>
    <w:rsid w:val="00C447A6"/>
    <w:rsid w:val="00C44D2F"/>
    <w:rsid w:val="00C54D79"/>
    <w:rsid w:val="00C6302A"/>
    <w:rsid w:val="00C74427"/>
    <w:rsid w:val="00C74F6B"/>
    <w:rsid w:val="00C77A6E"/>
    <w:rsid w:val="00C87164"/>
    <w:rsid w:val="00C87B62"/>
    <w:rsid w:val="00C9290D"/>
    <w:rsid w:val="00C947D1"/>
    <w:rsid w:val="00C95E27"/>
    <w:rsid w:val="00CA024F"/>
    <w:rsid w:val="00CA1B70"/>
    <w:rsid w:val="00CA2A1B"/>
    <w:rsid w:val="00CA7136"/>
    <w:rsid w:val="00CA7AB4"/>
    <w:rsid w:val="00CD4D60"/>
    <w:rsid w:val="00CE0C72"/>
    <w:rsid w:val="00CE3647"/>
    <w:rsid w:val="00CE6A23"/>
    <w:rsid w:val="00CF06A9"/>
    <w:rsid w:val="00CF182C"/>
    <w:rsid w:val="00CF5508"/>
    <w:rsid w:val="00D06AB1"/>
    <w:rsid w:val="00D06C31"/>
    <w:rsid w:val="00D17C42"/>
    <w:rsid w:val="00D26F7C"/>
    <w:rsid w:val="00D304FF"/>
    <w:rsid w:val="00D3082B"/>
    <w:rsid w:val="00D33964"/>
    <w:rsid w:val="00D36118"/>
    <w:rsid w:val="00D51684"/>
    <w:rsid w:val="00D57D5D"/>
    <w:rsid w:val="00D6164A"/>
    <w:rsid w:val="00D62F51"/>
    <w:rsid w:val="00D75223"/>
    <w:rsid w:val="00DA480A"/>
    <w:rsid w:val="00DB3FFE"/>
    <w:rsid w:val="00DB6F43"/>
    <w:rsid w:val="00DC204F"/>
    <w:rsid w:val="00DC44D8"/>
    <w:rsid w:val="00DD09DC"/>
    <w:rsid w:val="00DD3140"/>
    <w:rsid w:val="00DD4B01"/>
    <w:rsid w:val="00DF2C65"/>
    <w:rsid w:val="00DF3294"/>
    <w:rsid w:val="00E032DA"/>
    <w:rsid w:val="00E152A2"/>
    <w:rsid w:val="00E237EA"/>
    <w:rsid w:val="00E30164"/>
    <w:rsid w:val="00E301F8"/>
    <w:rsid w:val="00E316A3"/>
    <w:rsid w:val="00E4198B"/>
    <w:rsid w:val="00E43E84"/>
    <w:rsid w:val="00E62D37"/>
    <w:rsid w:val="00E6437A"/>
    <w:rsid w:val="00E67D83"/>
    <w:rsid w:val="00E714EF"/>
    <w:rsid w:val="00E848B3"/>
    <w:rsid w:val="00E8725A"/>
    <w:rsid w:val="00E90AC9"/>
    <w:rsid w:val="00E91B7C"/>
    <w:rsid w:val="00E92925"/>
    <w:rsid w:val="00E931A1"/>
    <w:rsid w:val="00E93DE3"/>
    <w:rsid w:val="00EA00BC"/>
    <w:rsid w:val="00EA1E50"/>
    <w:rsid w:val="00EA2FF6"/>
    <w:rsid w:val="00EA34DE"/>
    <w:rsid w:val="00EB11C3"/>
    <w:rsid w:val="00EB2214"/>
    <w:rsid w:val="00EB4268"/>
    <w:rsid w:val="00EC29E0"/>
    <w:rsid w:val="00EC51AC"/>
    <w:rsid w:val="00ED2B13"/>
    <w:rsid w:val="00ED69A3"/>
    <w:rsid w:val="00EE1092"/>
    <w:rsid w:val="00EE37FA"/>
    <w:rsid w:val="00EF0630"/>
    <w:rsid w:val="00F04397"/>
    <w:rsid w:val="00F0550F"/>
    <w:rsid w:val="00F06497"/>
    <w:rsid w:val="00F067AC"/>
    <w:rsid w:val="00F14C27"/>
    <w:rsid w:val="00F21EF8"/>
    <w:rsid w:val="00F338CF"/>
    <w:rsid w:val="00F36FEC"/>
    <w:rsid w:val="00F37C51"/>
    <w:rsid w:val="00F53B84"/>
    <w:rsid w:val="00F6430B"/>
    <w:rsid w:val="00F658CF"/>
    <w:rsid w:val="00F67E53"/>
    <w:rsid w:val="00F706DE"/>
    <w:rsid w:val="00F80666"/>
    <w:rsid w:val="00F845A5"/>
    <w:rsid w:val="00F87355"/>
    <w:rsid w:val="00F95252"/>
    <w:rsid w:val="00FA362B"/>
    <w:rsid w:val="00FA58BC"/>
    <w:rsid w:val="00FB4AFF"/>
    <w:rsid w:val="00FD1EA6"/>
    <w:rsid w:val="00FD6BF9"/>
    <w:rsid w:val="00FE0C74"/>
    <w:rsid w:val="00FE54BA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B4"/>
  </w:style>
  <w:style w:type="paragraph" w:styleId="Footer">
    <w:name w:val="footer"/>
    <w:basedOn w:val="Normal"/>
    <w:link w:val="FooterChar"/>
    <w:uiPriority w:val="99"/>
    <w:unhideWhenUsed/>
    <w:rsid w:val="00CA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B4"/>
  </w:style>
  <w:style w:type="paragraph" w:customStyle="1" w:styleId="Frumvarp-athugasemdirfyrirsgn">
    <w:name w:val="Frumvarp-athugasemdir fyrirsögn"/>
    <w:basedOn w:val="Heading2"/>
    <w:autoRedefine/>
    <w:rsid w:val="00841625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 w:val="0"/>
      <w:iCs/>
      <w:color w:val="auto"/>
      <w:spacing w:val="40"/>
      <w:sz w:val="32"/>
      <w:szCs w:val="32"/>
      <w:lang w:val="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B4"/>
  </w:style>
  <w:style w:type="paragraph" w:styleId="Footer">
    <w:name w:val="footer"/>
    <w:basedOn w:val="Normal"/>
    <w:link w:val="FooterChar"/>
    <w:uiPriority w:val="99"/>
    <w:unhideWhenUsed/>
    <w:rsid w:val="00CA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B4"/>
  </w:style>
  <w:style w:type="paragraph" w:customStyle="1" w:styleId="Frumvarp-athugasemdirfyrirsgn">
    <w:name w:val="Frumvarp-athugasemdir fyrirsögn"/>
    <w:basedOn w:val="Heading2"/>
    <w:autoRedefine/>
    <w:rsid w:val="00841625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 w:val="0"/>
      <w:iCs/>
      <w:color w:val="auto"/>
      <w:spacing w:val="40"/>
      <w:sz w:val="32"/>
      <w:szCs w:val="32"/>
      <w:lang w:val="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A640-CEC0-43AE-AFA0-10AC3F15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Freyr Björnsson</dc:creator>
  <cp:keywords/>
  <dc:description/>
  <cp:lastModifiedBy>Björn Freyr Björnsson</cp:lastModifiedBy>
  <cp:revision>13</cp:revision>
  <dcterms:created xsi:type="dcterms:W3CDTF">2015-02-10T15:27:00Z</dcterms:created>
  <dcterms:modified xsi:type="dcterms:W3CDTF">2015-07-03T09:49:00Z</dcterms:modified>
</cp:coreProperties>
</file>